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81" w:rsidRPr="00D52EEB" w:rsidRDefault="00B81881" w:rsidP="00B81881">
      <w:pPr>
        <w:widowControl/>
        <w:shd w:val="clear" w:color="auto" w:fill="FFFFFF"/>
        <w:jc w:val="center"/>
        <w:outlineLvl w:val="1"/>
        <w:rPr>
          <w:rFonts w:ascii="宋体" w:hAnsi="宋体" w:cs="宋体"/>
          <w:b/>
          <w:bCs/>
          <w:color w:val="000000"/>
          <w:kern w:val="0"/>
          <w:sz w:val="24"/>
        </w:rPr>
      </w:pPr>
      <w:r w:rsidRPr="00D52EEB">
        <w:rPr>
          <w:rFonts w:ascii="宋体" w:hAnsi="宋体" w:cs="宋体" w:hint="eastAsia"/>
          <w:b/>
          <w:bCs/>
          <w:color w:val="000000"/>
          <w:kern w:val="0"/>
          <w:sz w:val="24"/>
        </w:rPr>
        <w:t>医学教育网执业西药师：《答疑周刊》2017年第2</w:t>
      </w:r>
      <w:r>
        <w:rPr>
          <w:rFonts w:ascii="宋体" w:hAnsi="宋体" w:cs="宋体" w:hint="eastAsia"/>
          <w:b/>
          <w:bCs/>
          <w:color w:val="000000"/>
          <w:kern w:val="0"/>
          <w:sz w:val="24"/>
        </w:rPr>
        <w:t>6</w:t>
      </w:r>
      <w:r w:rsidRPr="00D52EEB">
        <w:rPr>
          <w:rFonts w:ascii="宋体" w:hAnsi="宋体" w:cs="宋体" w:hint="eastAsia"/>
          <w:b/>
          <w:bCs/>
          <w:color w:val="000000"/>
          <w:kern w:val="0"/>
          <w:sz w:val="24"/>
        </w:rPr>
        <w:t>期</w:t>
      </w:r>
    </w:p>
    <w:p w:rsidR="00B81881" w:rsidRPr="00D52EEB" w:rsidRDefault="00B81881" w:rsidP="00B81881">
      <w:pPr>
        <w:ind w:firstLineChars="200" w:firstLine="482"/>
        <w:rPr>
          <w:rFonts w:ascii="宋体" w:hAnsi="宋体" w:hint="eastAsia"/>
          <w:b/>
          <w:sz w:val="24"/>
        </w:rPr>
      </w:pPr>
      <w:r w:rsidRPr="00D52EEB">
        <w:rPr>
          <w:rFonts w:ascii="宋体" w:hAnsi="宋体" w:hint="eastAsia"/>
          <w:b/>
          <w:sz w:val="24"/>
        </w:rPr>
        <w:t>问题索引：</w:t>
      </w:r>
    </w:p>
    <w:p w:rsidR="00B81881" w:rsidRPr="00D52EEB" w:rsidRDefault="00B81881" w:rsidP="00B81881">
      <w:pPr>
        <w:ind w:firstLineChars="200" w:firstLine="482"/>
        <w:rPr>
          <w:rFonts w:ascii="宋体" w:hAnsi="宋体" w:hint="eastAsia"/>
          <w:b/>
          <w:sz w:val="24"/>
        </w:rPr>
      </w:pPr>
      <w:r w:rsidRPr="00D52EEB">
        <w:rPr>
          <w:rFonts w:ascii="宋体" w:hAnsi="宋体" w:hint="eastAsia"/>
          <w:b/>
          <w:sz w:val="24"/>
        </w:rPr>
        <w:t>1.执业药师的执业类别、执业范围、执业地区有何区别？</w:t>
      </w:r>
    </w:p>
    <w:p w:rsidR="00B81881" w:rsidRPr="00D52EEB" w:rsidRDefault="00B81881" w:rsidP="00B81881">
      <w:pPr>
        <w:ind w:firstLineChars="200" w:firstLine="482"/>
        <w:rPr>
          <w:rFonts w:ascii="宋体" w:hAnsi="宋体" w:hint="eastAsia"/>
          <w:b/>
          <w:sz w:val="24"/>
        </w:rPr>
      </w:pPr>
      <w:r w:rsidRPr="00D52EEB">
        <w:rPr>
          <w:rFonts w:ascii="宋体" w:hAnsi="宋体" w:hint="eastAsia"/>
          <w:b/>
          <w:sz w:val="24"/>
        </w:rPr>
        <w:t>2.执业药师的管理部门有哪些？分工有何不同？</w:t>
      </w:r>
    </w:p>
    <w:p w:rsidR="00B81881" w:rsidRPr="00D52EEB" w:rsidRDefault="00B81881" w:rsidP="00B81881">
      <w:pPr>
        <w:ind w:firstLineChars="200" w:firstLine="482"/>
        <w:rPr>
          <w:rFonts w:ascii="宋体" w:hAnsi="宋体" w:hint="eastAsia"/>
          <w:b/>
          <w:sz w:val="24"/>
        </w:rPr>
      </w:pPr>
      <w:r w:rsidRPr="00D52EEB">
        <w:rPr>
          <w:rFonts w:ascii="宋体" w:hAnsi="宋体" w:hint="eastAsia"/>
          <w:b/>
          <w:sz w:val="24"/>
        </w:rPr>
        <w:t>3.哪些人员可以报考执业药师资格考试？需要满足怎样的条件？</w:t>
      </w:r>
    </w:p>
    <w:p w:rsidR="00B81881" w:rsidRPr="00D52EEB" w:rsidRDefault="00B81881" w:rsidP="00B81881">
      <w:pPr>
        <w:ind w:firstLineChars="200" w:firstLine="482"/>
        <w:rPr>
          <w:rFonts w:ascii="宋体" w:hAnsi="宋体" w:hint="eastAsia"/>
          <w:b/>
          <w:sz w:val="24"/>
        </w:rPr>
      </w:pPr>
      <w:r w:rsidRPr="00D52EEB">
        <w:rPr>
          <w:rFonts w:ascii="宋体" w:hAnsi="宋体" w:hint="eastAsia"/>
          <w:b/>
          <w:sz w:val="24"/>
        </w:rPr>
        <w:t>4</w:t>
      </w:r>
      <w:r>
        <w:rPr>
          <w:rFonts w:ascii="宋体" w:hAnsi="宋体" w:hint="eastAsia"/>
          <w:b/>
          <w:sz w:val="24"/>
        </w:rPr>
        <w:t>.</w:t>
      </w:r>
      <w:r w:rsidRPr="00D52EEB">
        <w:rPr>
          <w:rFonts w:ascii="宋体" w:hAnsi="宋体" w:hint="eastAsia"/>
          <w:b/>
          <w:sz w:val="24"/>
        </w:rPr>
        <w:t>执业药师不予注册与注销注册有什么区别？</w:t>
      </w:r>
    </w:p>
    <w:p w:rsidR="00B81881" w:rsidRPr="00D52EEB" w:rsidRDefault="00B81881" w:rsidP="00B81881">
      <w:pPr>
        <w:ind w:firstLineChars="200" w:firstLine="482"/>
        <w:rPr>
          <w:rFonts w:ascii="宋体" w:hAnsi="宋体" w:hint="eastAsia"/>
          <w:b/>
          <w:sz w:val="24"/>
        </w:rPr>
      </w:pPr>
      <w:r w:rsidRPr="00D52EEB">
        <w:rPr>
          <w:rFonts w:ascii="宋体" w:hAnsi="宋体" w:hint="eastAsia"/>
          <w:b/>
          <w:sz w:val="24"/>
        </w:rPr>
        <w:t>具体解答：</w:t>
      </w:r>
    </w:p>
    <w:p w:rsidR="00B81881" w:rsidRPr="00D52EEB" w:rsidRDefault="00B81881" w:rsidP="00B81881">
      <w:pPr>
        <w:ind w:firstLineChars="200" w:firstLine="482"/>
        <w:rPr>
          <w:rFonts w:ascii="宋体" w:hAnsi="宋体" w:hint="eastAsia"/>
          <w:b/>
          <w:sz w:val="24"/>
        </w:rPr>
      </w:pPr>
      <w:r w:rsidRPr="00D52EEB">
        <w:rPr>
          <w:rFonts w:ascii="宋体" w:hAnsi="宋体" w:hint="eastAsia"/>
          <w:b/>
          <w:sz w:val="24"/>
        </w:rPr>
        <w:t>1.【问题】执业药师的执业类别、执业范围、执业地区有何区别？</w:t>
      </w:r>
    </w:p>
    <w:p w:rsidR="00B81881" w:rsidRPr="00D52EEB" w:rsidRDefault="00B81881" w:rsidP="00B81881">
      <w:pPr>
        <w:ind w:firstLineChars="200" w:firstLine="482"/>
        <w:rPr>
          <w:rFonts w:ascii="宋体" w:hAnsi="宋体" w:hint="eastAsia"/>
          <w:b/>
          <w:sz w:val="24"/>
        </w:rPr>
      </w:pPr>
      <w:r w:rsidRPr="00D52EEB">
        <w:rPr>
          <w:rFonts w:ascii="宋体" w:hAnsi="宋体" w:hint="eastAsia"/>
          <w:b/>
          <w:sz w:val="24"/>
        </w:rPr>
        <w:t>【解答】</w:t>
      </w:r>
    </w:p>
    <w:p w:rsidR="00B81881" w:rsidRPr="00D52EEB" w:rsidRDefault="00B81881" w:rsidP="00B81881">
      <w:pPr>
        <w:ind w:firstLineChars="200" w:firstLine="480"/>
        <w:rPr>
          <w:rFonts w:ascii="宋体" w:hAnsi="宋体" w:hint="eastAsia"/>
          <w:sz w:val="24"/>
        </w:rPr>
      </w:pPr>
      <w:r w:rsidRPr="00D52EEB">
        <w:rPr>
          <w:rFonts w:ascii="宋体" w:hAnsi="宋体" w:hint="eastAsia"/>
          <w:sz w:val="24"/>
        </w:rPr>
        <w:t>（1）执业类别为药学类、中药学类、药学与中药学类；</w:t>
      </w:r>
    </w:p>
    <w:p w:rsidR="00B81881" w:rsidRPr="00D52EEB" w:rsidRDefault="00B81881" w:rsidP="00B81881">
      <w:pPr>
        <w:ind w:firstLineChars="200" w:firstLine="480"/>
        <w:rPr>
          <w:rFonts w:ascii="宋体" w:hAnsi="宋体" w:hint="eastAsia"/>
          <w:sz w:val="24"/>
        </w:rPr>
      </w:pPr>
      <w:r w:rsidRPr="00D52EEB">
        <w:rPr>
          <w:rFonts w:ascii="宋体" w:hAnsi="宋体" w:hint="eastAsia"/>
          <w:sz w:val="24"/>
        </w:rPr>
        <w:t>（2）执业范围为药品生产、药品经营、药品使用（注意：机关、院校、科研单位、药品检验机构不属于执业单位，不予注册）；</w:t>
      </w:r>
    </w:p>
    <w:p w:rsidR="00B81881" w:rsidRPr="00D52EEB" w:rsidRDefault="00B81881" w:rsidP="00B81881">
      <w:pPr>
        <w:ind w:firstLineChars="200" w:firstLine="480"/>
        <w:rPr>
          <w:rFonts w:ascii="宋体" w:hAnsi="宋体" w:hint="eastAsia"/>
          <w:sz w:val="24"/>
        </w:rPr>
      </w:pPr>
      <w:r w:rsidRPr="00D52EEB">
        <w:rPr>
          <w:rFonts w:ascii="宋体" w:hAnsi="宋体" w:hint="eastAsia"/>
          <w:sz w:val="24"/>
        </w:rPr>
        <w:t>（3）执业地区为省、自治区、直辖市</w:t>
      </w:r>
      <w:r>
        <w:rPr>
          <w:rFonts w:ascii="宋体" w:hAnsi="宋体" w:hint="eastAsia"/>
          <w:sz w:val="24"/>
        </w:rPr>
        <w:t>[医学教育网原创]</w:t>
      </w:r>
      <w:r w:rsidRPr="00D52EEB">
        <w:rPr>
          <w:rFonts w:ascii="宋体" w:hAnsi="宋体" w:hint="eastAsia"/>
          <w:sz w:val="24"/>
        </w:rPr>
        <w:t>；</w:t>
      </w:r>
    </w:p>
    <w:p w:rsidR="00B81881" w:rsidRPr="00D52EEB" w:rsidRDefault="00B81881" w:rsidP="00B81881">
      <w:pPr>
        <w:ind w:firstLineChars="200" w:firstLine="480"/>
        <w:rPr>
          <w:rFonts w:ascii="宋体" w:hAnsi="宋体"/>
          <w:sz w:val="24"/>
        </w:rPr>
      </w:pPr>
      <w:r w:rsidRPr="00D52EEB">
        <w:rPr>
          <w:rFonts w:ascii="宋体" w:hAnsi="宋体" w:hint="eastAsia"/>
          <w:sz w:val="24"/>
        </w:rPr>
        <w:t>执业药师应当按照执业类别、执业范围、执业地区到执业单位所在省级执业药师注册机构进行注册。</w:t>
      </w:r>
    </w:p>
    <w:p w:rsidR="00B81881" w:rsidRPr="00D52EEB" w:rsidRDefault="00B81881" w:rsidP="00B81881">
      <w:pPr>
        <w:ind w:firstLineChars="200" w:firstLine="482"/>
        <w:rPr>
          <w:rFonts w:ascii="宋体" w:hAnsi="宋体" w:hint="eastAsia"/>
          <w:b/>
          <w:sz w:val="24"/>
        </w:rPr>
      </w:pPr>
      <w:r w:rsidRPr="00D52EEB">
        <w:rPr>
          <w:rFonts w:ascii="宋体" w:hAnsi="宋体" w:hint="eastAsia"/>
          <w:b/>
          <w:sz w:val="24"/>
        </w:rPr>
        <w:t>2.【问题】执业药师的管理部门有哪些？分工有何不同？</w:t>
      </w:r>
    </w:p>
    <w:p w:rsidR="00B81881" w:rsidRPr="00D52EEB" w:rsidRDefault="00B81881" w:rsidP="00B81881">
      <w:pPr>
        <w:ind w:firstLineChars="200" w:firstLine="482"/>
        <w:rPr>
          <w:rFonts w:ascii="宋体" w:hAnsi="宋体" w:hint="eastAsia"/>
          <w:b/>
          <w:sz w:val="24"/>
        </w:rPr>
      </w:pPr>
      <w:r w:rsidRPr="00D52EEB">
        <w:rPr>
          <w:rFonts w:ascii="宋体" w:hAnsi="宋体" w:hint="eastAsia"/>
          <w:b/>
          <w:sz w:val="24"/>
        </w:rPr>
        <w:t>【解答】</w:t>
      </w:r>
    </w:p>
    <w:p w:rsidR="00B81881" w:rsidRPr="00D52EEB" w:rsidRDefault="00B81881" w:rsidP="00B81881">
      <w:pPr>
        <w:ind w:firstLineChars="200" w:firstLine="480"/>
        <w:rPr>
          <w:rFonts w:ascii="宋体" w:hAnsi="宋体" w:hint="eastAsia"/>
          <w:sz w:val="24"/>
        </w:rPr>
      </w:pPr>
      <w:r w:rsidRPr="00D52EEB">
        <w:rPr>
          <w:rFonts w:ascii="宋体" w:hAnsi="宋体" w:hint="eastAsia"/>
          <w:sz w:val="24"/>
        </w:rPr>
        <w:t>人力资源和社会保障部与国家食品药品监督管理总局共同负责全国执业药师资格制度的政策制定、组织协调、资格考试、注册登记和监督管理工作。</w:t>
      </w:r>
    </w:p>
    <w:p w:rsidR="00B81881" w:rsidRPr="00D52EEB" w:rsidRDefault="00B81881" w:rsidP="00B81881">
      <w:pPr>
        <w:ind w:firstLineChars="200" w:firstLine="480"/>
        <w:rPr>
          <w:rFonts w:ascii="宋体" w:hAnsi="宋体" w:hint="eastAsia"/>
          <w:sz w:val="24"/>
        </w:rPr>
      </w:pPr>
      <w:r w:rsidRPr="00D52EEB">
        <w:rPr>
          <w:rFonts w:ascii="宋体" w:hAnsi="宋体" w:hint="eastAsia"/>
          <w:sz w:val="24"/>
        </w:rPr>
        <w:t>国家食品药品监督管理总局主要负责组织拟定考试科目和考试大纲、编写培训教材、建立试题库及考试命题工作，并指导注册登记和监督管理工作，按照培训与考试分开的原则，统一规划并组织考前培训。</w:t>
      </w:r>
    </w:p>
    <w:p w:rsidR="00B81881" w:rsidRPr="00D52EEB" w:rsidRDefault="00B81881" w:rsidP="00B81881">
      <w:pPr>
        <w:ind w:firstLineChars="200" w:firstLine="480"/>
        <w:rPr>
          <w:rFonts w:ascii="宋体" w:hAnsi="宋体"/>
          <w:sz w:val="24"/>
        </w:rPr>
      </w:pPr>
      <w:r w:rsidRPr="00D52EEB">
        <w:rPr>
          <w:rFonts w:ascii="宋体" w:hAnsi="宋体" w:hint="eastAsia"/>
          <w:sz w:val="24"/>
        </w:rPr>
        <w:t>人力资源和社会保障部则主要负责审定考试科目、考试大纲和试题，会同国家食品药品监督管理总局对考试工作进行监督、指导并确定合格标准。</w:t>
      </w:r>
    </w:p>
    <w:p w:rsidR="00B81881" w:rsidRPr="00D52EEB" w:rsidRDefault="00B81881" w:rsidP="00B81881">
      <w:pPr>
        <w:ind w:firstLineChars="200" w:firstLine="482"/>
        <w:rPr>
          <w:rFonts w:ascii="宋体" w:hAnsi="宋体" w:hint="eastAsia"/>
          <w:b/>
          <w:sz w:val="24"/>
        </w:rPr>
      </w:pPr>
      <w:r w:rsidRPr="00D52EEB">
        <w:rPr>
          <w:rFonts w:ascii="宋体" w:hAnsi="宋体" w:hint="eastAsia"/>
          <w:b/>
          <w:sz w:val="24"/>
        </w:rPr>
        <w:t>3.【问题】哪些人员可以报考执业药师资格考试？需要满足怎样的条件？</w:t>
      </w:r>
    </w:p>
    <w:p w:rsidR="00B81881" w:rsidRPr="00D52EEB" w:rsidRDefault="00B81881" w:rsidP="00B81881">
      <w:pPr>
        <w:ind w:firstLineChars="200" w:firstLine="482"/>
        <w:rPr>
          <w:rFonts w:ascii="宋体" w:hAnsi="宋体" w:hint="eastAsia"/>
          <w:b/>
          <w:sz w:val="24"/>
        </w:rPr>
      </w:pPr>
      <w:r w:rsidRPr="00D52EEB">
        <w:rPr>
          <w:rFonts w:ascii="宋体" w:hAnsi="宋体" w:hint="eastAsia"/>
          <w:b/>
          <w:sz w:val="24"/>
        </w:rPr>
        <w:t>【解答】</w:t>
      </w:r>
    </w:p>
    <w:p w:rsidR="00B81881" w:rsidRPr="00D52EEB" w:rsidRDefault="00B81881" w:rsidP="00B81881">
      <w:pPr>
        <w:ind w:firstLineChars="200" w:firstLine="480"/>
        <w:rPr>
          <w:rFonts w:ascii="宋体" w:hAnsi="宋体" w:hint="eastAsia"/>
          <w:b/>
          <w:sz w:val="24"/>
        </w:rPr>
      </w:pPr>
      <w:r w:rsidRPr="00D52EEB">
        <w:rPr>
          <w:rFonts w:ascii="宋体" w:hAnsi="宋体" w:hint="eastAsia"/>
          <w:sz w:val="24"/>
        </w:rPr>
        <w:t>我国公民和获准在我国境内就业的其他国籍的人员可以报考执业药师资格考试，但还需要满足以下工作年限。</w:t>
      </w:r>
    </w:p>
    <w:tbl>
      <w:tblPr>
        <w:tblW w:w="7371" w:type="dxa"/>
        <w:tblInd w:w="5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701"/>
        <w:gridCol w:w="2976"/>
        <w:gridCol w:w="2694"/>
      </w:tblGrid>
      <w:tr w:rsidR="00B81881" w:rsidRPr="00D52EEB" w:rsidTr="00807FC7">
        <w:trPr>
          <w:trHeight w:val="369"/>
        </w:trPr>
        <w:tc>
          <w:tcPr>
            <w:tcW w:w="1701" w:type="dxa"/>
            <w:shd w:val="clear" w:color="auto" w:fill="auto"/>
            <w:tcMar>
              <w:top w:w="74" w:type="dxa"/>
              <w:left w:w="142" w:type="dxa"/>
              <w:bottom w:w="74" w:type="dxa"/>
              <w:right w:w="142" w:type="dxa"/>
            </w:tcMar>
            <w:vAlign w:val="center"/>
            <w:hideMark/>
          </w:tcPr>
          <w:p w:rsidR="00B81881" w:rsidRPr="00D52EEB" w:rsidRDefault="00B81881" w:rsidP="00807FC7">
            <w:pPr>
              <w:ind w:firstLineChars="200" w:firstLine="480"/>
              <w:rPr>
                <w:rFonts w:ascii="宋体" w:hAnsi="宋体"/>
                <w:sz w:val="24"/>
              </w:rPr>
            </w:pPr>
            <w:r w:rsidRPr="00D52EEB">
              <w:rPr>
                <w:rFonts w:ascii="宋体" w:hAnsi="宋体" w:hint="eastAsia"/>
                <w:sz w:val="24"/>
              </w:rPr>
              <w:lastRenderedPageBreak/>
              <w:t xml:space="preserve">专业 </w:t>
            </w:r>
          </w:p>
        </w:tc>
        <w:tc>
          <w:tcPr>
            <w:tcW w:w="2976" w:type="dxa"/>
            <w:shd w:val="clear" w:color="auto" w:fill="auto"/>
            <w:tcMar>
              <w:top w:w="74" w:type="dxa"/>
              <w:left w:w="142" w:type="dxa"/>
              <w:bottom w:w="74" w:type="dxa"/>
              <w:right w:w="142" w:type="dxa"/>
            </w:tcMar>
            <w:vAlign w:val="center"/>
            <w:hideMark/>
          </w:tcPr>
          <w:p w:rsidR="00B81881" w:rsidRPr="00D52EEB" w:rsidRDefault="00B81881" w:rsidP="00807FC7">
            <w:pPr>
              <w:ind w:firstLineChars="200" w:firstLine="480"/>
              <w:rPr>
                <w:rFonts w:ascii="宋体" w:hAnsi="宋体"/>
                <w:sz w:val="24"/>
              </w:rPr>
            </w:pPr>
            <w:r w:rsidRPr="00D52EEB">
              <w:rPr>
                <w:rFonts w:ascii="宋体" w:hAnsi="宋体" w:hint="eastAsia"/>
                <w:sz w:val="24"/>
              </w:rPr>
              <w:t xml:space="preserve">学历 </w:t>
            </w:r>
          </w:p>
        </w:tc>
        <w:tc>
          <w:tcPr>
            <w:tcW w:w="2694" w:type="dxa"/>
            <w:shd w:val="clear" w:color="auto" w:fill="auto"/>
            <w:tcMar>
              <w:top w:w="74" w:type="dxa"/>
              <w:left w:w="142" w:type="dxa"/>
              <w:bottom w:w="74" w:type="dxa"/>
              <w:right w:w="142" w:type="dxa"/>
            </w:tcMar>
            <w:vAlign w:val="center"/>
            <w:hideMark/>
          </w:tcPr>
          <w:p w:rsidR="00B81881" w:rsidRPr="00D52EEB" w:rsidRDefault="00B81881" w:rsidP="00807FC7">
            <w:pPr>
              <w:ind w:firstLineChars="200" w:firstLine="480"/>
              <w:rPr>
                <w:rFonts w:ascii="宋体" w:hAnsi="宋体"/>
                <w:sz w:val="24"/>
              </w:rPr>
            </w:pPr>
            <w:r w:rsidRPr="00D52EEB">
              <w:rPr>
                <w:rFonts w:ascii="宋体" w:hAnsi="宋体" w:hint="eastAsia"/>
                <w:sz w:val="24"/>
              </w:rPr>
              <w:t xml:space="preserve">工作年限 </w:t>
            </w:r>
          </w:p>
        </w:tc>
      </w:tr>
      <w:tr w:rsidR="00B81881" w:rsidRPr="00D52EEB" w:rsidTr="00807FC7">
        <w:trPr>
          <w:trHeight w:val="307"/>
        </w:trPr>
        <w:tc>
          <w:tcPr>
            <w:tcW w:w="1701" w:type="dxa"/>
            <w:vMerge w:val="restart"/>
            <w:shd w:val="clear" w:color="auto" w:fill="auto"/>
            <w:tcMar>
              <w:top w:w="74" w:type="dxa"/>
              <w:left w:w="142" w:type="dxa"/>
              <w:bottom w:w="74" w:type="dxa"/>
              <w:right w:w="142" w:type="dxa"/>
            </w:tcMar>
            <w:vAlign w:val="center"/>
            <w:hideMark/>
          </w:tcPr>
          <w:p w:rsidR="00B81881" w:rsidRPr="00D52EEB" w:rsidRDefault="00B81881" w:rsidP="00807FC7">
            <w:pPr>
              <w:rPr>
                <w:rFonts w:ascii="宋体" w:hAnsi="宋体"/>
                <w:sz w:val="24"/>
              </w:rPr>
            </w:pPr>
            <w:r w:rsidRPr="00D52EEB">
              <w:rPr>
                <w:rFonts w:ascii="宋体" w:hAnsi="宋体" w:hint="eastAsia"/>
                <w:sz w:val="24"/>
              </w:rPr>
              <w:t xml:space="preserve">药学、中药学或相关专业 </w:t>
            </w:r>
          </w:p>
        </w:tc>
        <w:tc>
          <w:tcPr>
            <w:tcW w:w="2976" w:type="dxa"/>
            <w:shd w:val="clear" w:color="auto" w:fill="auto"/>
            <w:tcMar>
              <w:top w:w="74" w:type="dxa"/>
              <w:left w:w="142" w:type="dxa"/>
              <w:bottom w:w="74" w:type="dxa"/>
              <w:right w:w="142" w:type="dxa"/>
            </w:tcMar>
            <w:vAlign w:val="center"/>
            <w:hideMark/>
          </w:tcPr>
          <w:p w:rsidR="00B81881" w:rsidRPr="00D52EEB" w:rsidRDefault="00B81881" w:rsidP="00807FC7">
            <w:pPr>
              <w:ind w:firstLineChars="200" w:firstLine="480"/>
              <w:rPr>
                <w:rFonts w:ascii="宋体" w:hAnsi="宋体"/>
                <w:sz w:val="24"/>
              </w:rPr>
            </w:pPr>
            <w:r w:rsidRPr="00D52EEB">
              <w:rPr>
                <w:rFonts w:ascii="宋体" w:hAnsi="宋体" w:hint="eastAsia"/>
                <w:sz w:val="24"/>
              </w:rPr>
              <w:t xml:space="preserve">中专 </w:t>
            </w:r>
          </w:p>
        </w:tc>
        <w:tc>
          <w:tcPr>
            <w:tcW w:w="2694" w:type="dxa"/>
            <w:shd w:val="clear" w:color="auto" w:fill="auto"/>
            <w:tcMar>
              <w:top w:w="74" w:type="dxa"/>
              <w:left w:w="142" w:type="dxa"/>
              <w:bottom w:w="74" w:type="dxa"/>
              <w:right w:w="142" w:type="dxa"/>
            </w:tcMar>
            <w:vAlign w:val="center"/>
            <w:hideMark/>
          </w:tcPr>
          <w:p w:rsidR="00B81881" w:rsidRPr="00D52EEB" w:rsidRDefault="00B81881" w:rsidP="00807FC7">
            <w:pPr>
              <w:ind w:firstLineChars="200" w:firstLine="480"/>
              <w:rPr>
                <w:rFonts w:ascii="宋体" w:hAnsi="宋体"/>
                <w:sz w:val="24"/>
              </w:rPr>
            </w:pPr>
            <w:r w:rsidRPr="00D52EEB">
              <w:rPr>
                <w:rFonts w:ascii="宋体" w:hAnsi="宋体" w:hint="eastAsia"/>
                <w:sz w:val="24"/>
              </w:rPr>
              <w:t xml:space="preserve">满“七”年 </w:t>
            </w:r>
          </w:p>
        </w:tc>
      </w:tr>
      <w:tr w:rsidR="00B81881" w:rsidRPr="00D52EEB" w:rsidTr="00807FC7">
        <w:trPr>
          <w:trHeight w:val="373"/>
        </w:trPr>
        <w:tc>
          <w:tcPr>
            <w:tcW w:w="1701" w:type="dxa"/>
            <w:vMerge/>
            <w:shd w:val="clear" w:color="auto" w:fill="auto"/>
            <w:vAlign w:val="center"/>
            <w:hideMark/>
          </w:tcPr>
          <w:p w:rsidR="00B81881" w:rsidRPr="00D52EEB" w:rsidRDefault="00B81881" w:rsidP="00807FC7">
            <w:pPr>
              <w:ind w:firstLineChars="200" w:firstLine="480"/>
              <w:rPr>
                <w:rFonts w:ascii="宋体" w:hAnsi="宋体"/>
                <w:sz w:val="24"/>
              </w:rPr>
            </w:pPr>
          </w:p>
        </w:tc>
        <w:tc>
          <w:tcPr>
            <w:tcW w:w="2976" w:type="dxa"/>
            <w:shd w:val="clear" w:color="auto" w:fill="auto"/>
            <w:tcMar>
              <w:top w:w="74" w:type="dxa"/>
              <w:left w:w="142" w:type="dxa"/>
              <w:bottom w:w="74" w:type="dxa"/>
              <w:right w:w="142" w:type="dxa"/>
            </w:tcMar>
            <w:vAlign w:val="center"/>
            <w:hideMark/>
          </w:tcPr>
          <w:p w:rsidR="00B81881" w:rsidRPr="00D52EEB" w:rsidRDefault="00B81881" w:rsidP="00807FC7">
            <w:pPr>
              <w:ind w:firstLineChars="200" w:firstLine="480"/>
              <w:rPr>
                <w:rFonts w:ascii="宋体" w:hAnsi="宋体"/>
                <w:sz w:val="24"/>
              </w:rPr>
            </w:pPr>
            <w:r w:rsidRPr="00D52EEB">
              <w:rPr>
                <w:rFonts w:ascii="宋体" w:hAnsi="宋体" w:hint="eastAsia"/>
                <w:sz w:val="24"/>
              </w:rPr>
              <w:t xml:space="preserve">大专 </w:t>
            </w:r>
          </w:p>
        </w:tc>
        <w:tc>
          <w:tcPr>
            <w:tcW w:w="2694" w:type="dxa"/>
            <w:shd w:val="clear" w:color="auto" w:fill="auto"/>
            <w:tcMar>
              <w:top w:w="74" w:type="dxa"/>
              <w:left w:w="142" w:type="dxa"/>
              <w:bottom w:w="74" w:type="dxa"/>
              <w:right w:w="142" w:type="dxa"/>
            </w:tcMar>
            <w:vAlign w:val="center"/>
            <w:hideMark/>
          </w:tcPr>
          <w:p w:rsidR="00B81881" w:rsidRPr="00D52EEB" w:rsidRDefault="00B81881" w:rsidP="00807FC7">
            <w:pPr>
              <w:ind w:firstLineChars="200" w:firstLine="480"/>
              <w:rPr>
                <w:rFonts w:ascii="宋体" w:hAnsi="宋体"/>
                <w:sz w:val="24"/>
              </w:rPr>
            </w:pPr>
            <w:r w:rsidRPr="00D52EEB">
              <w:rPr>
                <w:rFonts w:ascii="宋体" w:hAnsi="宋体" w:hint="eastAsia"/>
                <w:sz w:val="24"/>
              </w:rPr>
              <w:t xml:space="preserve">满“五”年 </w:t>
            </w:r>
          </w:p>
        </w:tc>
      </w:tr>
      <w:tr w:rsidR="00B81881" w:rsidRPr="00D52EEB" w:rsidTr="00807FC7">
        <w:trPr>
          <w:trHeight w:val="280"/>
        </w:trPr>
        <w:tc>
          <w:tcPr>
            <w:tcW w:w="1701" w:type="dxa"/>
            <w:vMerge/>
            <w:shd w:val="clear" w:color="auto" w:fill="auto"/>
            <w:vAlign w:val="center"/>
            <w:hideMark/>
          </w:tcPr>
          <w:p w:rsidR="00B81881" w:rsidRPr="00D52EEB" w:rsidRDefault="00B81881" w:rsidP="00807FC7">
            <w:pPr>
              <w:ind w:firstLineChars="200" w:firstLine="480"/>
              <w:rPr>
                <w:rFonts w:ascii="宋体" w:hAnsi="宋体"/>
                <w:sz w:val="24"/>
              </w:rPr>
            </w:pPr>
          </w:p>
        </w:tc>
        <w:tc>
          <w:tcPr>
            <w:tcW w:w="2976" w:type="dxa"/>
            <w:shd w:val="clear" w:color="auto" w:fill="auto"/>
            <w:tcMar>
              <w:top w:w="74" w:type="dxa"/>
              <w:left w:w="142" w:type="dxa"/>
              <w:bottom w:w="74" w:type="dxa"/>
              <w:right w:w="142" w:type="dxa"/>
            </w:tcMar>
            <w:vAlign w:val="center"/>
            <w:hideMark/>
          </w:tcPr>
          <w:p w:rsidR="00B81881" w:rsidRPr="00D52EEB" w:rsidRDefault="00B81881" w:rsidP="00807FC7">
            <w:pPr>
              <w:ind w:firstLineChars="200" w:firstLine="480"/>
              <w:rPr>
                <w:rFonts w:ascii="宋体" w:hAnsi="宋体"/>
                <w:sz w:val="24"/>
              </w:rPr>
            </w:pPr>
            <w:r w:rsidRPr="00D52EEB">
              <w:rPr>
                <w:rFonts w:ascii="宋体" w:hAnsi="宋体" w:hint="eastAsia"/>
                <w:sz w:val="24"/>
              </w:rPr>
              <w:t xml:space="preserve">本科 </w:t>
            </w:r>
          </w:p>
        </w:tc>
        <w:tc>
          <w:tcPr>
            <w:tcW w:w="2694" w:type="dxa"/>
            <w:shd w:val="clear" w:color="auto" w:fill="auto"/>
            <w:tcMar>
              <w:top w:w="74" w:type="dxa"/>
              <w:left w:w="142" w:type="dxa"/>
              <w:bottom w:w="74" w:type="dxa"/>
              <w:right w:w="142" w:type="dxa"/>
            </w:tcMar>
            <w:vAlign w:val="center"/>
            <w:hideMark/>
          </w:tcPr>
          <w:p w:rsidR="00B81881" w:rsidRPr="00D52EEB" w:rsidRDefault="00B81881" w:rsidP="00807FC7">
            <w:pPr>
              <w:ind w:firstLineChars="200" w:firstLine="480"/>
              <w:rPr>
                <w:rFonts w:ascii="宋体" w:hAnsi="宋体"/>
                <w:sz w:val="24"/>
              </w:rPr>
            </w:pPr>
            <w:r w:rsidRPr="00D52EEB">
              <w:rPr>
                <w:rFonts w:ascii="宋体" w:hAnsi="宋体" w:hint="eastAsia"/>
                <w:sz w:val="24"/>
              </w:rPr>
              <w:t xml:space="preserve">满“三”年 </w:t>
            </w:r>
          </w:p>
        </w:tc>
      </w:tr>
      <w:tr w:rsidR="00B81881" w:rsidRPr="00D52EEB" w:rsidTr="00807FC7">
        <w:trPr>
          <w:trHeight w:val="1060"/>
        </w:trPr>
        <w:tc>
          <w:tcPr>
            <w:tcW w:w="1701" w:type="dxa"/>
            <w:vMerge/>
            <w:shd w:val="clear" w:color="auto" w:fill="auto"/>
            <w:vAlign w:val="center"/>
            <w:hideMark/>
          </w:tcPr>
          <w:p w:rsidR="00B81881" w:rsidRPr="00D52EEB" w:rsidRDefault="00B81881" w:rsidP="00807FC7">
            <w:pPr>
              <w:ind w:firstLineChars="200" w:firstLine="480"/>
              <w:rPr>
                <w:rFonts w:ascii="宋体" w:hAnsi="宋体"/>
                <w:sz w:val="24"/>
              </w:rPr>
            </w:pPr>
          </w:p>
        </w:tc>
        <w:tc>
          <w:tcPr>
            <w:tcW w:w="2976" w:type="dxa"/>
            <w:shd w:val="clear" w:color="auto" w:fill="auto"/>
            <w:tcMar>
              <w:top w:w="74" w:type="dxa"/>
              <w:left w:w="142" w:type="dxa"/>
              <w:bottom w:w="74" w:type="dxa"/>
              <w:right w:w="142" w:type="dxa"/>
            </w:tcMar>
            <w:vAlign w:val="center"/>
            <w:hideMark/>
          </w:tcPr>
          <w:p w:rsidR="00B81881" w:rsidRPr="00D52EEB" w:rsidRDefault="00B81881" w:rsidP="00807FC7">
            <w:pPr>
              <w:ind w:firstLineChars="200" w:firstLine="480"/>
              <w:rPr>
                <w:rFonts w:ascii="宋体" w:hAnsi="宋体"/>
                <w:sz w:val="24"/>
              </w:rPr>
            </w:pPr>
            <w:r w:rsidRPr="00D52EEB">
              <w:rPr>
                <w:rFonts w:ascii="宋体" w:hAnsi="宋体" w:hint="eastAsia"/>
                <w:sz w:val="24"/>
              </w:rPr>
              <w:t xml:space="preserve">硕士 （含学士学位、研究生班） </w:t>
            </w:r>
          </w:p>
        </w:tc>
        <w:tc>
          <w:tcPr>
            <w:tcW w:w="2694" w:type="dxa"/>
            <w:shd w:val="clear" w:color="auto" w:fill="auto"/>
            <w:tcMar>
              <w:top w:w="74" w:type="dxa"/>
              <w:left w:w="142" w:type="dxa"/>
              <w:bottom w:w="74" w:type="dxa"/>
              <w:right w:w="142" w:type="dxa"/>
            </w:tcMar>
            <w:vAlign w:val="center"/>
            <w:hideMark/>
          </w:tcPr>
          <w:p w:rsidR="00B81881" w:rsidRPr="00D52EEB" w:rsidRDefault="00B81881" w:rsidP="00807FC7">
            <w:pPr>
              <w:ind w:firstLineChars="200" w:firstLine="480"/>
              <w:rPr>
                <w:rFonts w:ascii="宋体" w:hAnsi="宋体"/>
                <w:sz w:val="24"/>
              </w:rPr>
            </w:pPr>
            <w:r w:rsidRPr="00D52EEB">
              <w:rPr>
                <w:rFonts w:ascii="宋体" w:hAnsi="宋体" w:hint="eastAsia"/>
                <w:sz w:val="24"/>
              </w:rPr>
              <w:t xml:space="preserve">满“一”年 </w:t>
            </w:r>
          </w:p>
        </w:tc>
      </w:tr>
      <w:tr w:rsidR="00B81881" w:rsidRPr="00D52EEB" w:rsidTr="00807FC7">
        <w:trPr>
          <w:trHeight w:val="405"/>
        </w:trPr>
        <w:tc>
          <w:tcPr>
            <w:tcW w:w="1701" w:type="dxa"/>
            <w:vMerge/>
            <w:shd w:val="clear" w:color="auto" w:fill="auto"/>
            <w:vAlign w:val="center"/>
            <w:hideMark/>
          </w:tcPr>
          <w:p w:rsidR="00B81881" w:rsidRPr="00D52EEB" w:rsidRDefault="00B81881" w:rsidP="00807FC7">
            <w:pPr>
              <w:ind w:firstLineChars="200" w:firstLine="480"/>
              <w:rPr>
                <w:rFonts w:ascii="宋体" w:hAnsi="宋体"/>
                <w:sz w:val="24"/>
              </w:rPr>
            </w:pPr>
          </w:p>
        </w:tc>
        <w:tc>
          <w:tcPr>
            <w:tcW w:w="2976" w:type="dxa"/>
            <w:shd w:val="clear" w:color="auto" w:fill="auto"/>
            <w:tcMar>
              <w:top w:w="74" w:type="dxa"/>
              <w:left w:w="142" w:type="dxa"/>
              <w:bottom w:w="74" w:type="dxa"/>
              <w:right w:w="142" w:type="dxa"/>
            </w:tcMar>
            <w:vAlign w:val="center"/>
            <w:hideMark/>
          </w:tcPr>
          <w:p w:rsidR="00B81881" w:rsidRPr="00D52EEB" w:rsidRDefault="00B81881" w:rsidP="00807FC7">
            <w:pPr>
              <w:ind w:firstLineChars="200" w:firstLine="480"/>
              <w:rPr>
                <w:rFonts w:ascii="宋体" w:hAnsi="宋体"/>
                <w:sz w:val="24"/>
              </w:rPr>
            </w:pPr>
            <w:r w:rsidRPr="00D52EEB">
              <w:rPr>
                <w:rFonts w:ascii="宋体" w:hAnsi="宋体" w:hint="eastAsia"/>
                <w:sz w:val="24"/>
              </w:rPr>
              <w:t xml:space="preserve">博士 </w:t>
            </w:r>
          </w:p>
        </w:tc>
        <w:tc>
          <w:tcPr>
            <w:tcW w:w="2694" w:type="dxa"/>
            <w:shd w:val="clear" w:color="auto" w:fill="auto"/>
            <w:tcMar>
              <w:top w:w="74" w:type="dxa"/>
              <w:left w:w="142" w:type="dxa"/>
              <w:bottom w:w="74" w:type="dxa"/>
              <w:right w:w="142" w:type="dxa"/>
            </w:tcMar>
            <w:vAlign w:val="center"/>
            <w:hideMark/>
          </w:tcPr>
          <w:p w:rsidR="00B81881" w:rsidRPr="00D52EEB" w:rsidRDefault="00B81881" w:rsidP="00807FC7">
            <w:pPr>
              <w:ind w:firstLineChars="200" w:firstLine="480"/>
              <w:rPr>
                <w:rFonts w:ascii="宋体" w:hAnsi="宋体"/>
                <w:sz w:val="24"/>
              </w:rPr>
            </w:pPr>
            <w:r w:rsidRPr="00D52EEB">
              <w:rPr>
                <w:rFonts w:ascii="宋体" w:hAnsi="宋体" w:hint="eastAsia"/>
                <w:sz w:val="24"/>
              </w:rPr>
              <w:t xml:space="preserve">满“零”年 </w:t>
            </w:r>
          </w:p>
        </w:tc>
      </w:tr>
    </w:tbl>
    <w:p w:rsidR="00B81881" w:rsidRPr="00D52EEB" w:rsidRDefault="00B81881" w:rsidP="00B81881">
      <w:pPr>
        <w:ind w:firstLineChars="200" w:firstLine="480"/>
        <w:rPr>
          <w:rFonts w:ascii="宋体" w:hAnsi="宋体"/>
          <w:sz w:val="24"/>
        </w:rPr>
      </w:pPr>
      <w:r w:rsidRPr="00D52EEB">
        <w:rPr>
          <w:rFonts w:ascii="宋体" w:hAnsi="宋体" w:hint="eastAsia"/>
          <w:sz w:val="24"/>
        </w:rPr>
        <w:t xml:space="preserve">【记忆技巧】“中大本硕博：七五三一零” </w:t>
      </w:r>
    </w:p>
    <w:p w:rsidR="00B81881" w:rsidRPr="00D52EEB" w:rsidRDefault="00B81881" w:rsidP="00B81881">
      <w:pPr>
        <w:ind w:firstLineChars="200" w:firstLine="482"/>
        <w:rPr>
          <w:rFonts w:ascii="宋体" w:hAnsi="宋体" w:hint="eastAsia"/>
          <w:b/>
          <w:sz w:val="24"/>
        </w:rPr>
      </w:pPr>
      <w:r>
        <w:rPr>
          <w:rFonts w:ascii="宋体" w:hAnsi="宋体" w:hint="eastAsia"/>
          <w:b/>
          <w:sz w:val="24"/>
        </w:rPr>
        <w:t>4</w:t>
      </w:r>
      <w:r w:rsidRPr="00D52EEB">
        <w:rPr>
          <w:rFonts w:ascii="宋体" w:hAnsi="宋体" w:hint="eastAsia"/>
          <w:b/>
          <w:sz w:val="24"/>
        </w:rPr>
        <w:t>.【问题】执业药师不予注册与注销注册有什么区别？</w:t>
      </w:r>
    </w:p>
    <w:p w:rsidR="00B81881" w:rsidRDefault="00B81881" w:rsidP="00B81881">
      <w:pPr>
        <w:ind w:firstLineChars="200" w:firstLine="482"/>
        <w:rPr>
          <w:rFonts w:ascii="宋体" w:hAnsi="宋体" w:hint="eastAsia"/>
          <w:b/>
          <w:sz w:val="24"/>
        </w:rPr>
      </w:pPr>
      <w:r w:rsidRPr="00D52EEB">
        <w:rPr>
          <w:rFonts w:ascii="宋体" w:hAnsi="宋体" w:hint="eastAsia"/>
          <w:b/>
          <w:sz w:val="24"/>
        </w:rPr>
        <w:t>【解答】</w:t>
      </w:r>
    </w:p>
    <w:p w:rsidR="00B81881" w:rsidRPr="00D52EEB" w:rsidRDefault="00B81881" w:rsidP="00B81881">
      <w:pPr>
        <w:ind w:firstLineChars="200" w:firstLine="480"/>
        <w:rPr>
          <w:rFonts w:ascii="宋体" w:hAnsi="宋体" w:hint="eastAsia"/>
          <w:sz w:val="24"/>
        </w:rPr>
      </w:pPr>
      <w:r w:rsidRPr="00D52EEB">
        <w:rPr>
          <w:rFonts w:ascii="宋体" w:hAnsi="宋体" w:hint="eastAsia"/>
          <w:sz w:val="24"/>
        </w:rPr>
        <w:t>不予注册针对的对象是申请注册的人员</w:t>
      </w:r>
      <w:r>
        <w:rPr>
          <w:rFonts w:ascii="宋体" w:hAnsi="宋体" w:hint="eastAsia"/>
          <w:sz w:val="24"/>
        </w:rPr>
        <w:t>[医学教育网原创]</w:t>
      </w:r>
      <w:r w:rsidRPr="00D52EEB">
        <w:rPr>
          <w:rFonts w:ascii="宋体" w:hAnsi="宋体" w:hint="eastAsia"/>
          <w:sz w:val="24"/>
        </w:rPr>
        <w:t>。</w:t>
      </w:r>
    </w:p>
    <w:p w:rsidR="00B81881" w:rsidRDefault="00B81881" w:rsidP="00B81881">
      <w:pPr>
        <w:ind w:firstLineChars="200" w:firstLine="480"/>
        <w:rPr>
          <w:rFonts w:ascii="宋体" w:hAnsi="宋体" w:hint="eastAsia"/>
          <w:sz w:val="24"/>
        </w:rPr>
      </w:pPr>
      <w:r w:rsidRPr="00D52EEB">
        <w:rPr>
          <w:rFonts w:ascii="宋体" w:hAnsi="宋体" w:hint="eastAsia"/>
          <w:sz w:val="24"/>
        </w:rPr>
        <w:t>有下列情形之一的申请注册人员，不予注册：①不具备完全民事行为能力的；②因受刑事处罚，自刑罚执行完毕之日到申请注册之日不满2年的；③受过取消执业药师执业资格处分不满2年的；④国家规定不宜从事执业药师业务的其他情形的（主要包括：甲、乙类传染病传染期、精神病发病期等健康状况不适宜或者不能胜任执业药师业务工作的）。</w:t>
      </w:r>
    </w:p>
    <w:p w:rsidR="00B81881" w:rsidRDefault="00B81881" w:rsidP="00B81881">
      <w:pPr>
        <w:ind w:firstLineChars="200" w:firstLine="480"/>
        <w:rPr>
          <w:rFonts w:ascii="宋体" w:hAnsi="宋体" w:hint="eastAsia"/>
          <w:sz w:val="24"/>
        </w:rPr>
      </w:pPr>
      <w:r>
        <w:rPr>
          <w:rFonts w:ascii="宋体" w:hAnsi="宋体" w:hint="eastAsia"/>
          <w:sz w:val="24"/>
        </w:rPr>
        <w:t>注销注册针对的对象是已经注册的执业药师。</w:t>
      </w:r>
    </w:p>
    <w:p w:rsidR="00D470EF" w:rsidRPr="00B81881" w:rsidRDefault="00B81881" w:rsidP="00B81881">
      <w:pPr>
        <w:ind w:firstLineChars="200" w:firstLine="480"/>
        <w:rPr>
          <w:rFonts w:ascii="宋体" w:hAnsi="宋体"/>
          <w:sz w:val="24"/>
        </w:rPr>
      </w:pPr>
      <w:r w:rsidRPr="00D52EEB">
        <w:rPr>
          <w:rFonts w:ascii="宋体" w:hAnsi="宋体" w:hint="eastAsia"/>
          <w:sz w:val="24"/>
        </w:rPr>
        <w:t>执业药师注册后如有下列情况之一的，应予以注销注册：①死亡或被宣告失踪的；②受刑事处罚的；③被吊销《执业药师资格证书》的；④受开除行政处分的；⑤因健康或其他原因不能从事执业药师业务的；⑥无正当理由不在岗执业超过半年以上者；⑦注册许可有效期届满未延续的。注销手续由执业药师本人或其所在单位向注册机构申请办理。</w:t>
      </w:r>
    </w:p>
    <w:sectPr w:rsidR="00D470EF" w:rsidRPr="00B81881" w:rsidSect="00D470EF">
      <w:headerReference w:type="even" r:id="rId8"/>
      <w:headerReference w:type="default" r:id="rId9"/>
      <w:footerReference w:type="default" r:id="rId10"/>
      <w:headerReference w:type="firs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377" w:rsidRDefault="00A51377" w:rsidP="00D470EF">
      <w:pPr>
        <w:spacing w:line="240" w:lineRule="auto"/>
      </w:pPr>
      <w:r>
        <w:separator/>
      </w:r>
    </w:p>
  </w:endnote>
  <w:endnote w:type="continuationSeparator" w:id="1">
    <w:p w:rsidR="00A51377" w:rsidRDefault="00A51377" w:rsidP="00D470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EF" w:rsidRDefault="00E62F74">
    <w:pPr>
      <w:pStyle w:val="a4"/>
      <w:jc w:val="center"/>
    </w:pPr>
    <w:r>
      <w:rPr>
        <w:kern w:val="0"/>
        <w:szCs w:val="21"/>
      </w:rPr>
      <w:t>-</w:t>
    </w:r>
    <w:r w:rsidR="004B1B77">
      <w:rPr>
        <w:kern w:val="0"/>
        <w:szCs w:val="21"/>
      </w:rPr>
      <w:fldChar w:fldCharType="begin"/>
    </w:r>
    <w:r>
      <w:rPr>
        <w:kern w:val="0"/>
        <w:szCs w:val="21"/>
      </w:rPr>
      <w:instrText xml:space="preserve"> PAGE </w:instrText>
    </w:r>
    <w:r w:rsidR="004B1B77">
      <w:rPr>
        <w:kern w:val="0"/>
        <w:szCs w:val="21"/>
      </w:rPr>
      <w:fldChar w:fldCharType="separate"/>
    </w:r>
    <w:r w:rsidR="00B81881">
      <w:rPr>
        <w:noProof/>
        <w:kern w:val="0"/>
        <w:szCs w:val="21"/>
      </w:rPr>
      <w:t>1</w:t>
    </w:r>
    <w:r w:rsidR="004B1B77">
      <w:rPr>
        <w:kern w:val="0"/>
        <w:szCs w:val="21"/>
      </w:rPr>
      <w:fldChar w:fldCharType="end"/>
    </w:r>
    <w:r>
      <w:rPr>
        <w:kern w:val="0"/>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377" w:rsidRDefault="00A51377" w:rsidP="00D470EF">
      <w:pPr>
        <w:spacing w:line="240" w:lineRule="auto"/>
      </w:pPr>
      <w:r>
        <w:separator/>
      </w:r>
    </w:p>
  </w:footnote>
  <w:footnote w:type="continuationSeparator" w:id="1">
    <w:p w:rsidR="00A51377" w:rsidRDefault="00A51377" w:rsidP="00D470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EF" w:rsidRDefault="00E62F74">
    <w:pPr>
      <w:pStyle w:val="a5"/>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66690" cy="7452995"/>
          <wp:effectExtent l="0" t="0" r="10160" b="14605"/>
          <wp:wrapNone/>
          <wp:docPr id="10" name="WordPictureWatermark2" descr="word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2" descr="word水印"/>
                  <pic:cNvPicPr>
                    <a:picLocks noChangeAspect="1"/>
                  </pic:cNvPicPr>
                </pic:nvPicPr>
                <pic:blipFill>
                  <a:blip r:embed="rId1"/>
                  <a:stretch>
                    <a:fillRect/>
                  </a:stretch>
                </pic:blipFill>
                <pic:spPr>
                  <a:xfrm>
                    <a:off x="0" y="0"/>
                    <a:ext cx="5266690" cy="7452995"/>
                  </a:xfrm>
                  <a:prstGeom prst="rect">
                    <a:avLst/>
                  </a:prstGeom>
                  <a:noFill/>
                  <a:ln w="9525">
                    <a:noFill/>
                  </a:ln>
                </pic:spPr>
              </pic:pic>
            </a:graphicData>
          </a:graphic>
        </wp:anchor>
      </w:drawing>
    </w:r>
  </w:p>
  <w:p w:rsidR="00D470EF" w:rsidRDefault="00D470E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EF" w:rsidRDefault="00E62F74">
    <w:pPr>
      <w:pStyle w:val="a5"/>
      <w:jc w:val="both"/>
    </w:pPr>
    <w:r>
      <w:rPr>
        <w:noProof/>
      </w:rPr>
      <w:drawing>
        <wp:inline distT="0" distB="0" distL="114300" distR="114300">
          <wp:extent cx="1590675" cy="400050"/>
          <wp:effectExtent l="0" t="0" r="9525" b="0"/>
          <wp:docPr id="7"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logo1"/>
                  <pic:cNvPicPr>
                    <a:picLocks noChangeAspect="1"/>
                  </pic:cNvPicPr>
                </pic:nvPicPr>
                <pic:blipFill>
                  <a:blip r:embed="rId1"/>
                  <a:stretch>
                    <a:fillRect/>
                  </a:stretch>
                </pic:blipFill>
                <pic:spPr>
                  <a:xfrm>
                    <a:off x="0" y="0"/>
                    <a:ext cx="1590675" cy="400050"/>
                  </a:xfrm>
                  <a:prstGeom prst="rect">
                    <a:avLst/>
                  </a:prstGeom>
                  <a:noFill/>
                  <a:ln w="9525">
                    <a:noFill/>
                  </a:ln>
                </pic:spPr>
              </pic:pic>
            </a:graphicData>
          </a:graphic>
        </wp:inline>
      </w:drawing>
    </w:r>
    <w:r>
      <w:rPr>
        <w:rFonts w:hint="eastAsia"/>
      </w:rPr>
      <w:t xml:space="preserve">　　　　</w:t>
    </w:r>
    <w:r>
      <w:rPr>
        <w:rFonts w:hint="eastAsia"/>
        <w:color w:val="0000FF"/>
      </w:rPr>
      <w:t>24</w:t>
    </w:r>
    <w:r>
      <w:rPr>
        <w:rFonts w:hint="eastAsia"/>
        <w:color w:val="0000FF"/>
      </w:rPr>
      <w:t>小时客服电话：</w:t>
    </w:r>
    <w:r>
      <w:rPr>
        <w:rFonts w:hint="eastAsia"/>
        <w:color w:val="0000FF"/>
      </w:rPr>
      <w:t>010-82311666</w:t>
    </w:r>
    <w:r>
      <w:rPr>
        <w:rFonts w:hint="eastAsia"/>
        <w:color w:val="0000FF"/>
      </w:rPr>
      <w:t xml:space="preserve">　免费咨询热线：</w:t>
    </w:r>
    <w:r>
      <w:rPr>
        <w:rFonts w:hint="eastAsia"/>
        <w:color w:val="0000FF"/>
      </w:rPr>
      <w:t>4006501888</w:t>
    </w: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66690" cy="7452995"/>
          <wp:effectExtent l="0" t="0" r="10160" b="14605"/>
          <wp:wrapNone/>
          <wp:docPr id="9" name="WordPictureWatermark3" descr="word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3" descr="word水印"/>
                  <pic:cNvPicPr>
                    <a:picLocks noChangeAspect="1"/>
                  </pic:cNvPicPr>
                </pic:nvPicPr>
                <pic:blipFill>
                  <a:blip r:embed="rId2"/>
                  <a:stretch>
                    <a:fillRect/>
                  </a:stretch>
                </pic:blipFill>
                <pic:spPr>
                  <a:xfrm>
                    <a:off x="0" y="0"/>
                    <a:ext cx="5266690" cy="7452995"/>
                  </a:xfrm>
                  <a:prstGeom prst="rect">
                    <a:avLst/>
                  </a:prstGeom>
                  <a:noFill/>
                  <a:ln w="9525">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EF" w:rsidRDefault="00E62F74">
    <w:pPr>
      <w:pStyle w:val="a5"/>
    </w:pPr>
    <w:r>
      <w:rPr>
        <w:noProof/>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6690" cy="7452995"/>
          <wp:effectExtent l="0" t="0" r="10160" b="14605"/>
          <wp:wrapNone/>
          <wp:docPr id="1" name="WordPictureWatermark1" descr="word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 descr="word水印"/>
                  <pic:cNvPicPr>
                    <a:picLocks noChangeAspect="1"/>
                  </pic:cNvPicPr>
                </pic:nvPicPr>
                <pic:blipFill>
                  <a:blip r:embed="rId1"/>
                  <a:stretch>
                    <a:fillRect/>
                  </a:stretch>
                </pic:blipFill>
                <pic:spPr>
                  <a:xfrm>
                    <a:off x="0" y="0"/>
                    <a:ext cx="5266690" cy="7452995"/>
                  </a:xfrm>
                  <a:prstGeom prst="rect">
                    <a:avLst/>
                  </a:prstGeom>
                  <a:noFill/>
                  <a:ln w="9525">
                    <a:noFill/>
                  </a:ln>
                </pic:spPr>
              </pic:pic>
            </a:graphicData>
          </a:graphic>
        </wp:anchor>
      </w:drawing>
    </w:r>
  </w:p>
  <w:p w:rsidR="00D470EF" w:rsidRDefault="00D470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A17C8"/>
    <w:multiLevelType w:val="singleLevel"/>
    <w:tmpl w:val="57EA17C8"/>
    <w:lvl w:ilvl="0">
      <w:start w:val="1"/>
      <w:numFmt w:val="decimal"/>
      <w:suff w:val="nothing"/>
      <w:lvlText w:val="%1."/>
      <w:lvlJc w:val="left"/>
    </w:lvl>
  </w:abstractNum>
  <w:abstractNum w:abstractNumId="1">
    <w:nsid w:val="583CFBEE"/>
    <w:multiLevelType w:val="singleLevel"/>
    <w:tmpl w:val="583CFBEE"/>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70EF"/>
    <w:rsid w:val="002C2733"/>
    <w:rsid w:val="004B1B77"/>
    <w:rsid w:val="00A51377"/>
    <w:rsid w:val="00B81881"/>
    <w:rsid w:val="00D470EF"/>
    <w:rsid w:val="00E62F74"/>
    <w:rsid w:val="07C0597E"/>
    <w:rsid w:val="08E95D08"/>
    <w:rsid w:val="271204A7"/>
    <w:rsid w:val="47A31F20"/>
    <w:rsid w:val="627C00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0EF"/>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470EF"/>
    <w:rPr>
      <w:rFonts w:ascii="宋体" w:cs="Courier New"/>
      <w:szCs w:val="21"/>
    </w:rPr>
  </w:style>
  <w:style w:type="paragraph" w:styleId="a4">
    <w:name w:val="footer"/>
    <w:basedOn w:val="a"/>
    <w:rsid w:val="00D470EF"/>
    <w:pPr>
      <w:tabs>
        <w:tab w:val="center" w:pos="4153"/>
        <w:tab w:val="right" w:pos="8306"/>
      </w:tabs>
      <w:snapToGrid w:val="0"/>
      <w:jc w:val="left"/>
    </w:pPr>
    <w:rPr>
      <w:sz w:val="18"/>
      <w:szCs w:val="18"/>
    </w:rPr>
  </w:style>
  <w:style w:type="paragraph" w:styleId="a5">
    <w:name w:val="header"/>
    <w:basedOn w:val="a"/>
    <w:rsid w:val="00D470EF"/>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
    <w:rsid w:val="002C2733"/>
    <w:pPr>
      <w:spacing w:line="240" w:lineRule="auto"/>
    </w:pPr>
    <w:rPr>
      <w:sz w:val="18"/>
      <w:szCs w:val="18"/>
    </w:rPr>
  </w:style>
  <w:style w:type="character" w:customStyle="1" w:styleId="Char">
    <w:name w:val="批注框文本 Char"/>
    <w:basedOn w:val="a0"/>
    <w:link w:val="a6"/>
    <w:rsid w:val="002C273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2014-10-29T12:08:00Z</dcterms:created>
  <dcterms:modified xsi:type="dcterms:W3CDTF">2017-04-21T02:57:00Z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