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C" w:rsidRDefault="000A7A7C" w:rsidP="00507DC6">
      <w:pPr>
        <w:spacing w:line="480" w:lineRule="exact"/>
        <w:rPr>
          <w:rFonts w:ascii="??_GB2312" w:hAnsi="仿宋" w:cs="Times New Roman"/>
          <w:sz w:val="28"/>
          <w:szCs w:val="28"/>
        </w:rPr>
      </w:pPr>
      <w:r w:rsidRPr="00507DC6">
        <w:rPr>
          <w:rFonts w:ascii="??_GB2312" w:hAnsi="仿宋" w:cs="宋体" w:hint="eastAsia"/>
          <w:sz w:val="28"/>
          <w:szCs w:val="28"/>
        </w:rPr>
        <w:t>附件</w:t>
      </w:r>
      <w:r w:rsidRPr="00507DC6">
        <w:rPr>
          <w:rFonts w:ascii="??_GB2312" w:hAnsi="仿宋" w:cs="??_GB2312"/>
          <w:sz w:val="28"/>
          <w:szCs w:val="28"/>
        </w:rPr>
        <w:t>8</w:t>
      </w:r>
    </w:p>
    <w:p w:rsidR="000A7A7C" w:rsidRPr="00507DC6" w:rsidRDefault="000A7A7C" w:rsidP="00507DC6">
      <w:pPr>
        <w:spacing w:line="480" w:lineRule="exact"/>
        <w:jc w:val="center"/>
        <w:rPr>
          <w:rFonts w:ascii="??_GB2312" w:hAnsi="仿宋" w:cs="Times New Roman"/>
          <w:sz w:val="28"/>
          <w:szCs w:val="28"/>
        </w:rPr>
      </w:pPr>
      <w:r>
        <w:rPr>
          <w:rFonts w:ascii="??_GB2312" w:eastAsia="Times New Roman" w:hAnsi="仿宋" w:cs="Times New Roman"/>
          <w:b/>
          <w:bCs/>
          <w:sz w:val="32"/>
          <w:szCs w:val="32"/>
        </w:rPr>
        <w:t>宜昌卫生技术副高级量化评审指标体系及赋分原则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根据今年卫生专业技术人员申报的类型，设定综合评价、专业知识、专业能力、专业业绩和一线工作五个大项量化体系共计</w:t>
      </w:r>
      <w:r w:rsidRPr="00507DC6">
        <w:rPr>
          <w:rFonts w:ascii="仿宋" w:eastAsia="仿宋" w:hAnsi="仿宋" w:cs="仿宋"/>
          <w:sz w:val="28"/>
          <w:szCs w:val="28"/>
        </w:rPr>
        <w:t>150</w:t>
      </w:r>
      <w:r w:rsidRPr="00507DC6">
        <w:rPr>
          <w:rFonts w:ascii="仿宋" w:eastAsia="仿宋" w:hAnsi="仿宋" w:cs="仿宋" w:hint="eastAsia"/>
          <w:sz w:val="28"/>
          <w:szCs w:val="28"/>
        </w:rPr>
        <w:t>分，前三项为共同部分合计</w:t>
      </w:r>
      <w:r w:rsidRPr="00507DC6">
        <w:rPr>
          <w:rFonts w:ascii="仿宋" w:eastAsia="仿宋" w:hAnsi="仿宋" w:cs="仿宋"/>
          <w:sz w:val="28"/>
          <w:szCs w:val="28"/>
        </w:rPr>
        <w:t>75</w:t>
      </w:r>
      <w:r w:rsidRPr="00507DC6">
        <w:rPr>
          <w:rFonts w:ascii="仿宋" w:eastAsia="仿宋" w:hAnsi="仿宋" w:cs="仿宋" w:hint="eastAsia"/>
          <w:sz w:val="28"/>
          <w:szCs w:val="28"/>
        </w:rPr>
        <w:t>分；后两项按照不同申报类型的评价要求，以业绩、能力、贡献为主要评价导向设定评价重点进行赋分合计</w:t>
      </w:r>
      <w:r w:rsidRPr="00507DC6">
        <w:rPr>
          <w:rFonts w:ascii="仿宋" w:eastAsia="仿宋" w:hAnsi="仿宋" w:cs="仿宋"/>
          <w:sz w:val="28"/>
          <w:szCs w:val="28"/>
        </w:rPr>
        <w:t>75</w:t>
      </w:r>
      <w:r w:rsidRPr="00507DC6">
        <w:rPr>
          <w:rFonts w:ascii="仿宋" w:eastAsia="仿宋" w:hAnsi="仿宋" w:cs="仿宋" w:hint="eastAsia"/>
          <w:sz w:val="28"/>
          <w:szCs w:val="28"/>
        </w:rPr>
        <w:t>分。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前三项共同部分的量化评审赋分和主要内容（</w:t>
      </w:r>
      <w:r w:rsidRPr="00507DC6">
        <w:rPr>
          <w:rFonts w:ascii="仿宋" w:eastAsia="仿宋" w:hAnsi="仿宋" w:cs="仿宋"/>
          <w:sz w:val="28"/>
          <w:szCs w:val="28"/>
        </w:rPr>
        <w:t>75</w:t>
      </w:r>
      <w:r w:rsidRPr="00507DC6">
        <w:rPr>
          <w:rFonts w:ascii="仿宋" w:eastAsia="仿宋" w:hAnsi="仿宋" w:cs="仿宋" w:hint="eastAsia"/>
          <w:sz w:val="28"/>
          <w:szCs w:val="28"/>
        </w:rPr>
        <w:t>分）。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综合评价</w:t>
      </w:r>
      <w:r w:rsidRPr="00507DC6">
        <w:rPr>
          <w:rFonts w:ascii="仿宋" w:eastAsia="仿宋" w:hAnsi="仿宋" w:cs="仿宋"/>
          <w:sz w:val="28"/>
          <w:szCs w:val="28"/>
        </w:rPr>
        <w:t>20</w:t>
      </w:r>
      <w:r w:rsidRPr="00507DC6">
        <w:rPr>
          <w:rFonts w:ascii="仿宋" w:eastAsia="仿宋" w:hAnsi="仿宋" w:cs="仿宋" w:hint="eastAsia"/>
          <w:sz w:val="28"/>
          <w:szCs w:val="28"/>
        </w:rPr>
        <w:t>分，包括由单位评价的工作实践能力，政府综合表彰和行业表彰，以及支援基层、援疆、援藏、援外和乡镇工作经历等；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专业知识</w:t>
      </w:r>
      <w:r w:rsidRPr="00507DC6">
        <w:rPr>
          <w:rFonts w:ascii="仿宋" w:eastAsia="仿宋" w:hAnsi="仿宋" w:cs="仿宋"/>
          <w:sz w:val="28"/>
          <w:szCs w:val="28"/>
        </w:rPr>
        <w:t xml:space="preserve"> 25</w:t>
      </w:r>
      <w:r w:rsidRPr="00507DC6">
        <w:rPr>
          <w:rFonts w:ascii="仿宋" w:eastAsia="仿宋" w:hAnsi="仿宋" w:cs="仿宋" w:hint="eastAsia"/>
          <w:sz w:val="28"/>
          <w:szCs w:val="28"/>
        </w:rPr>
        <w:t>分，包括申报学历和学位、基础学历和学位、继续教育的专业科目和公需科目、外语计算机应用能力、水平能力测试成绩等；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专业能力</w:t>
      </w:r>
      <w:r w:rsidRPr="00507DC6">
        <w:rPr>
          <w:rFonts w:ascii="仿宋" w:eastAsia="仿宋" w:hAnsi="仿宋" w:cs="仿宋"/>
          <w:sz w:val="28"/>
          <w:szCs w:val="28"/>
        </w:rPr>
        <w:t>30</w:t>
      </w:r>
      <w:r w:rsidRPr="00507DC6">
        <w:rPr>
          <w:rFonts w:ascii="仿宋" w:eastAsia="仿宋" w:hAnsi="仿宋" w:cs="仿宋" w:hint="eastAsia"/>
          <w:sz w:val="28"/>
          <w:szCs w:val="28"/>
        </w:rPr>
        <w:t>分，包括专业工作年限、专业工作资历、专业技术水平、创新能力等；</w:t>
      </w:r>
      <w:r w:rsidRPr="00507DC6">
        <w:rPr>
          <w:rFonts w:ascii="仿宋" w:eastAsia="仿宋" w:hAnsi="仿宋" w:cs="仿宋"/>
          <w:sz w:val="28"/>
          <w:szCs w:val="28"/>
        </w:rPr>
        <w:t xml:space="preserve"> 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后两项不同部分的量化评审赋分和主要内容（</w:t>
      </w:r>
      <w:r w:rsidRPr="00507DC6">
        <w:rPr>
          <w:rFonts w:ascii="仿宋" w:eastAsia="仿宋" w:hAnsi="仿宋" w:cs="仿宋"/>
          <w:sz w:val="28"/>
          <w:szCs w:val="28"/>
        </w:rPr>
        <w:t>75</w:t>
      </w:r>
      <w:r w:rsidRPr="00507DC6">
        <w:rPr>
          <w:rFonts w:ascii="仿宋" w:eastAsia="仿宋" w:hAnsi="仿宋" w:cs="仿宋" w:hint="eastAsia"/>
          <w:sz w:val="28"/>
          <w:szCs w:val="28"/>
        </w:rPr>
        <w:t>分）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/>
          <w:sz w:val="28"/>
          <w:szCs w:val="28"/>
        </w:rPr>
        <w:t>1</w:t>
      </w:r>
      <w:r w:rsidRPr="00507DC6">
        <w:rPr>
          <w:rFonts w:ascii="仿宋" w:eastAsia="仿宋" w:hAnsi="仿宋" w:cs="仿宋" w:hint="eastAsia"/>
          <w:sz w:val="28"/>
          <w:szCs w:val="28"/>
        </w:rPr>
        <w:t>、药护技类（</w:t>
      </w:r>
      <w:r w:rsidRPr="00507DC6">
        <w:rPr>
          <w:rFonts w:ascii="仿宋" w:eastAsia="仿宋" w:hAnsi="仿宋" w:cs="仿宋"/>
          <w:sz w:val="28"/>
          <w:szCs w:val="28"/>
        </w:rPr>
        <w:t>75</w:t>
      </w:r>
      <w:r w:rsidRPr="00507DC6">
        <w:rPr>
          <w:rFonts w:ascii="仿宋" w:eastAsia="仿宋" w:hAnsi="仿宋" w:cs="仿宋" w:hint="eastAsia"/>
          <w:sz w:val="28"/>
          <w:szCs w:val="28"/>
        </w:rPr>
        <w:t>分）。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专业业绩</w:t>
      </w:r>
      <w:r w:rsidRPr="00507DC6">
        <w:rPr>
          <w:rFonts w:ascii="仿宋" w:eastAsia="仿宋" w:hAnsi="仿宋" w:cs="仿宋"/>
          <w:sz w:val="28"/>
          <w:szCs w:val="28"/>
        </w:rPr>
        <w:t>65</w:t>
      </w:r>
      <w:r w:rsidRPr="00507DC6">
        <w:rPr>
          <w:rFonts w:ascii="仿宋" w:eastAsia="仿宋" w:hAnsi="仿宋" w:cs="仿宋" w:hint="eastAsia"/>
          <w:sz w:val="28"/>
          <w:szCs w:val="28"/>
        </w:rPr>
        <w:t>分，包括工作数量、工作质量、年度考核、代表作水平、科研成果、科技奖励、专业期刊论文和论著等；一线工作</w:t>
      </w:r>
      <w:r w:rsidRPr="00507DC6">
        <w:rPr>
          <w:rFonts w:ascii="仿宋" w:eastAsia="仿宋" w:hAnsi="仿宋" w:cs="仿宋"/>
          <w:sz w:val="28"/>
          <w:szCs w:val="28"/>
        </w:rPr>
        <w:t>10</w:t>
      </w:r>
      <w:r w:rsidRPr="00507DC6">
        <w:rPr>
          <w:rFonts w:ascii="仿宋" w:eastAsia="仿宋" w:hAnsi="仿宋" w:cs="仿宋" w:hint="eastAsia"/>
          <w:sz w:val="28"/>
          <w:szCs w:val="28"/>
        </w:rPr>
        <w:t>分，包括一线工作的时间、岗位和贡献等。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/>
          <w:sz w:val="28"/>
          <w:szCs w:val="28"/>
        </w:rPr>
        <w:t>2</w:t>
      </w:r>
      <w:r w:rsidRPr="00507DC6">
        <w:rPr>
          <w:rFonts w:ascii="仿宋" w:eastAsia="仿宋" w:hAnsi="仿宋" w:cs="仿宋" w:hint="eastAsia"/>
          <w:sz w:val="28"/>
          <w:szCs w:val="28"/>
        </w:rPr>
        <w:t>、医师类（</w:t>
      </w:r>
      <w:r w:rsidRPr="00507DC6">
        <w:rPr>
          <w:rFonts w:ascii="仿宋" w:eastAsia="仿宋" w:hAnsi="仿宋" w:cs="仿宋"/>
          <w:sz w:val="28"/>
          <w:szCs w:val="28"/>
        </w:rPr>
        <w:t>75</w:t>
      </w:r>
      <w:r w:rsidRPr="00507DC6">
        <w:rPr>
          <w:rFonts w:ascii="仿宋" w:eastAsia="仿宋" w:hAnsi="仿宋" w:cs="仿宋" w:hint="eastAsia"/>
          <w:sz w:val="28"/>
          <w:szCs w:val="28"/>
        </w:rPr>
        <w:t>分）。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 w:hint="eastAsia"/>
          <w:sz w:val="28"/>
          <w:szCs w:val="28"/>
        </w:rPr>
        <w:t>专业业绩</w:t>
      </w:r>
      <w:r w:rsidRPr="00507DC6">
        <w:rPr>
          <w:rFonts w:ascii="仿宋" w:eastAsia="仿宋" w:hAnsi="仿宋" w:cs="仿宋"/>
          <w:sz w:val="28"/>
          <w:szCs w:val="28"/>
        </w:rPr>
        <w:t xml:space="preserve"> 55</w:t>
      </w:r>
      <w:r w:rsidRPr="00507DC6">
        <w:rPr>
          <w:rFonts w:ascii="仿宋" w:eastAsia="仿宋" w:hAnsi="仿宋" w:cs="仿宋" w:hint="eastAsia"/>
          <w:sz w:val="28"/>
          <w:szCs w:val="28"/>
        </w:rPr>
        <w:t>分，重点评价工作数量、工作质量、年度考核等、代表作水平、科研成果、科技奖励、专业期刊论文和论著等，一线工作</w:t>
      </w:r>
      <w:r w:rsidRPr="00507DC6">
        <w:rPr>
          <w:rFonts w:ascii="仿宋" w:eastAsia="仿宋" w:hAnsi="仿宋" w:cs="仿宋"/>
          <w:sz w:val="28"/>
          <w:szCs w:val="28"/>
        </w:rPr>
        <w:t>20</w:t>
      </w:r>
      <w:r w:rsidRPr="00507DC6">
        <w:rPr>
          <w:rFonts w:ascii="仿宋" w:eastAsia="仿宋" w:hAnsi="仿宋" w:cs="仿宋" w:hint="eastAsia"/>
          <w:sz w:val="28"/>
          <w:szCs w:val="28"/>
        </w:rPr>
        <w:t>分，包括一线工作的时间、岗位和贡献等</w:t>
      </w:r>
    </w:p>
    <w:p w:rsidR="000A7A7C" w:rsidRPr="00507DC6" w:rsidRDefault="000A7A7C" w:rsidP="00507DC6">
      <w:pPr>
        <w:spacing w:line="48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507DC6">
        <w:rPr>
          <w:rFonts w:ascii="仿宋" w:eastAsia="仿宋" w:hAnsi="仿宋" w:cs="仿宋" w:hint="eastAsia"/>
          <w:sz w:val="28"/>
          <w:szCs w:val="28"/>
        </w:rPr>
        <w:t>“基卫高”评审参照临床型医师专业和药（护、技）专业量化评审标准。</w:t>
      </w:r>
    </w:p>
    <w:p w:rsidR="000A7A7C" w:rsidRPr="00507DC6" w:rsidRDefault="000A7A7C" w:rsidP="00507DC6">
      <w:pPr>
        <w:spacing w:line="480" w:lineRule="exact"/>
        <w:ind w:firstLineChars="250" w:firstLine="31680"/>
        <w:rPr>
          <w:rFonts w:ascii="仿宋" w:eastAsia="仿宋" w:hAnsi="仿宋" w:cs="Times New Roman"/>
          <w:sz w:val="28"/>
          <w:szCs w:val="28"/>
        </w:rPr>
      </w:pPr>
      <w:r w:rsidRPr="00507DC6">
        <w:rPr>
          <w:rFonts w:ascii="仿宋" w:eastAsia="仿宋" w:hAnsi="仿宋" w:cs="仿宋"/>
          <w:sz w:val="28"/>
          <w:szCs w:val="28"/>
        </w:rPr>
        <w:t xml:space="preserve"> </w:t>
      </w:r>
      <w:r w:rsidRPr="00507DC6">
        <w:rPr>
          <w:rFonts w:ascii="仿宋" w:eastAsia="仿宋" w:hAnsi="仿宋" w:cs="仿宋" w:hint="eastAsia"/>
          <w:sz w:val="28"/>
          <w:szCs w:val="28"/>
        </w:rPr>
        <w:t>高评办在年度评审前将聘请专家组，对《量化表评分表》五项内容的具体赋分办法进行适度修订。</w:t>
      </w:r>
    </w:p>
    <w:sectPr w:rsidR="000A7A7C" w:rsidRPr="00507DC6" w:rsidSect="00D81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1603E4"/>
    <w:rsid w:val="000A7A7C"/>
    <w:rsid w:val="00350255"/>
    <w:rsid w:val="004C313B"/>
    <w:rsid w:val="00507DC6"/>
    <w:rsid w:val="005137C3"/>
    <w:rsid w:val="0069174B"/>
    <w:rsid w:val="00763FD7"/>
    <w:rsid w:val="009E248F"/>
    <w:rsid w:val="00CD12FD"/>
    <w:rsid w:val="00D81812"/>
    <w:rsid w:val="5E16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1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Windows 用户</cp:lastModifiedBy>
  <cp:revision>3</cp:revision>
  <cp:lastPrinted>2017-06-09T00:59:00Z</cp:lastPrinted>
  <dcterms:created xsi:type="dcterms:W3CDTF">2017-06-08T05:32:00Z</dcterms:created>
  <dcterms:modified xsi:type="dcterms:W3CDTF">2017-06-09T00:59:00Z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