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61" w:hanging="361"/>
        <w:jc w:val="center"/>
        <w:rPr>
          <w:rFonts w:asciiTheme="minorEastAsia" w:hAnsiTheme="minorEastAsia"/>
          <w:b/>
          <w:sz w:val="24"/>
          <w:szCs w:val="24"/>
        </w:rPr>
      </w:pPr>
      <w:bookmarkStart w:id="0" w:name="_GoBack"/>
      <w:r>
        <w:rPr>
          <w:rFonts w:hint="eastAsia" w:asciiTheme="minorEastAsia" w:hAnsiTheme="minorEastAsia"/>
          <w:b/>
          <w:sz w:val="24"/>
          <w:szCs w:val="24"/>
        </w:rPr>
        <w:t>药事管理与法规</w:t>
      </w:r>
    </w:p>
    <w:p>
      <w:pPr>
        <w:ind w:left="0" w:firstLine="480" w:firstLineChars="200"/>
        <w:rPr>
          <w:rFonts w:asciiTheme="minorEastAsia" w:hAnsiTheme="minorEastAsia"/>
          <w:sz w:val="24"/>
          <w:szCs w:val="24"/>
        </w:rPr>
      </w:pPr>
      <w:r>
        <w:rPr>
          <w:rFonts w:hint="eastAsia" w:asciiTheme="minorEastAsia" w:hAnsiTheme="minorEastAsia"/>
          <w:sz w:val="24"/>
          <w:szCs w:val="24"/>
        </w:rPr>
        <w:t>药事管理与法规是执业药师职责和执业活动必须具备的知识与能力，考查目的重在评价、培养和指导执业药师法制意识、责任意识、自律意识、服务意识，从而确保准入人员具有合法执业能力、高尚职业道德，并能够更好地保护患者基本权利、尊重患者隐私。要求重点掌握药学实践中与合法 执业直接相关的法律法规规定，并能够理解国家医药卫生政策的具体要求。</w:t>
      </w:r>
    </w:p>
    <w:p>
      <w:pPr>
        <w:ind w:left="0" w:firstLine="480" w:firstLineChars="200"/>
        <w:rPr>
          <w:rFonts w:asciiTheme="minorEastAsia" w:hAnsiTheme="minorEastAsia"/>
          <w:sz w:val="24"/>
          <w:szCs w:val="24"/>
        </w:rPr>
      </w:pPr>
      <w:r>
        <w:rPr>
          <w:rFonts w:hint="eastAsia" w:asciiTheme="minorEastAsia" w:hAnsiTheme="minorEastAsia"/>
          <w:sz w:val="24"/>
          <w:szCs w:val="24"/>
        </w:rPr>
        <w:t>药事管理与法规科目的考试内容以本考试大纲为准。国家新修订的或新颁布的药事管理法规，需要纳入考试内容范围的，由国家食品药品监督管理总局执业药师管理机构在当年考试的6个月之前予以公布。</w:t>
      </w:r>
    </w:p>
    <w:bookmarkEnd w:id="0"/>
    <w:p>
      <w:pPr>
        <w:ind w:left="0" w:firstLine="0" w:firstLineChars="0"/>
        <w:rPr>
          <w:rFonts w:asciiTheme="minorEastAsia" w:hAnsiTheme="minorEastAsia"/>
          <w:sz w:val="24"/>
          <w:szCs w:val="24"/>
        </w:rPr>
      </w:pPr>
    </w:p>
    <w:tbl>
      <w:tblPr>
        <w:tblStyle w:val="6"/>
        <w:tblW w:w="9829" w:type="dxa"/>
        <w:jc w:val="center"/>
        <w:tblInd w:w="95" w:type="dxa"/>
        <w:tblLayout w:type="fixed"/>
        <w:tblCellMar>
          <w:top w:w="0" w:type="dxa"/>
          <w:left w:w="108" w:type="dxa"/>
          <w:bottom w:w="0" w:type="dxa"/>
          <w:right w:w="108" w:type="dxa"/>
        </w:tblCellMar>
      </w:tblPr>
      <w:tblGrid>
        <w:gridCol w:w="980"/>
        <w:gridCol w:w="2010"/>
        <w:gridCol w:w="2835"/>
        <w:gridCol w:w="4004"/>
      </w:tblGrid>
      <w:tr>
        <w:tblPrEx>
          <w:tblLayout w:type="fixed"/>
          <w:tblCellMar>
            <w:top w:w="0" w:type="dxa"/>
            <w:left w:w="108" w:type="dxa"/>
            <w:bottom w:w="0" w:type="dxa"/>
            <w:right w:w="108" w:type="dxa"/>
          </w:tblCellMar>
        </w:tblPrEx>
        <w:trPr>
          <w:trHeight w:val="270"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330" w:hanging="330" w:firstLineChars="0"/>
              <w:jc w:val="center"/>
              <w:rPr>
                <w:rFonts w:cs="宋体" w:asciiTheme="minorEastAsia" w:hAnsiTheme="minorEastAsia"/>
                <w:kern w:val="0"/>
                <w:sz w:val="24"/>
                <w:szCs w:val="24"/>
              </w:rPr>
            </w:pPr>
            <w:r>
              <w:rPr>
                <w:rFonts w:hint="eastAsia" w:cs="宋体" w:asciiTheme="minorEastAsia" w:hAnsiTheme="minorEastAsia"/>
                <w:kern w:val="0"/>
                <w:sz w:val="24"/>
                <w:szCs w:val="24"/>
              </w:rPr>
              <w:t>大单元</w:t>
            </w:r>
          </w:p>
        </w:tc>
        <w:tc>
          <w:tcPr>
            <w:tcW w:w="2010" w:type="dxa"/>
            <w:tcBorders>
              <w:top w:val="single" w:color="auto" w:sz="4" w:space="0"/>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小单元</w:t>
            </w:r>
          </w:p>
        </w:tc>
        <w:tc>
          <w:tcPr>
            <w:tcW w:w="2835" w:type="dxa"/>
            <w:tcBorders>
              <w:top w:val="single" w:color="auto" w:sz="4" w:space="0"/>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细 目</w:t>
            </w:r>
          </w:p>
        </w:tc>
        <w:tc>
          <w:tcPr>
            <w:tcW w:w="4004" w:type="dxa"/>
            <w:tcBorders>
              <w:top w:val="single" w:color="auto" w:sz="4" w:space="0"/>
              <w:left w:val="nil"/>
              <w:bottom w:val="single" w:color="auto" w:sz="4" w:space="0"/>
              <w:right w:val="single" w:color="auto" w:sz="4" w:space="0"/>
            </w:tcBorders>
            <w:shd w:val="clear" w:color="auto" w:fill="auto"/>
            <w:vAlign w:val="center"/>
          </w:tcPr>
          <w:p>
            <w:pPr>
              <w:widowControl/>
              <w:ind w:left="0" w:firstLine="0" w:firstLineChars="0"/>
              <w:jc w:val="center"/>
              <w:rPr>
                <w:rFonts w:cs="宋体" w:asciiTheme="minorEastAsia" w:hAnsiTheme="minorEastAsia"/>
                <w:kern w:val="0"/>
                <w:sz w:val="24"/>
                <w:szCs w:val="24"/>
              </w:rPr>
            </w:pPr>
            <w:r>
              <w:rPr>
                <w:rFonts w:hint="eastAsia" w:cs="宋体" w:asciiTheme="minorEastAsia" w:hAnsiTheme="minorEastAsia"/>
                <w:kern w:val="0"/>
                <w:sz w:val="24"/>
                <w:szCs w:val="24"/>
              </w:rPr>
              <w:t>要 点</w:t>
            </w:r>
          </w:p>
        </w:tc>
      </w:tr>
      <w:tr>
        <w:tblPrEx>
          <w:tblLayout w:type="fixed"/>
          <w:tblCellMar>
            <w:top w:w="0" w:type="dxa"/>
            <w:left w:w="108" w:type="dxa"/>
            <w:bottom w:w="0" w:type="dxa"/>
            <w:right w:w="108" w:type="dxa"/>
          </w:tblCellMar>
        </w:tblPrEx>
        <w:trPr>
          <w:trHeight w:val="270" w:hRule="atLeast"/>
          <w:jc w:val="center"/>
        </w:trPr>
        <w:tc>
          <w:tcPr>
            <w:tcW w:w="980" w:type="dxa"/>
            <w:vMerge w:val="restart"/>
            <w:tcBorders>
              <w:top w:val="nil"/>
              <w:left w:val="single" w:color="auto" w:sz="4" w:space="0"/>
              <w:right w:val="single" w:color="auto" w:sz="4" w:space="0"/>
            </w:tcBorders>
            <w:shd w:val="clear" w:color="auto" w:fill="auto"/>
            <w:textDirection w:val="tbRlV"/>
            <w:vAlign w:val="center"/>
          </w:tcPr>
          <w:p>
            <w:pPr>
              <w:widowControl/>
              <w:ind w:left="0" w:firstLine="0" w:firstLineChars="0"/>
              <w:jc w:val="center"/>
              <w:rPr>
                <w:rFonts w:cs="宋体" w:asciiTheme="minorEastAsia" w:hAnsiTheme="minorEastAsia"/>
                <w:kern w:val="0"/>
                <w:sz w:val="24"/>
                <w:szCs w:val="24"/>
              </w:rPr>
            </w:pPr>
            <w:r>
              <w:rPr>
                <w:rFonts w:hint="eastAsia" w:cs="宋体" w:asciiTheme="minorEastAsia" w:hAnsiTheme="minorEastAsia"/>
                <w:kern w:val="0"/>
                <w:sz w:val="24"/>
                <w:szCs w:val="24"/>
              </w:rPr>
              <w:t>一 执业药师与药品安全</w:t>
            </w:r>
          </w:p>
        </w:tc>
        <w:tc>
          <w:tcPr>
            <w:tcW w:w="2010"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(一）执业药师管理</w:t>
            </w: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1.执业药师资格制度</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(1）执业药师制度的内涵 </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left w:val="single" w:color="auto"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(2）执业药师管理部门</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left w:val="single" w:color="auto"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2.执业药师资格考试与注册管理</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(1）执业药师资格考试 </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left w:val="single" w:color="auto"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(2）执业药师注册管理</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left w:val="single" w:color="auto"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3.执业药师职责</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执业药师主要职责</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left w:val="single" w:color="auto"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4.执业药师继续教育</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（1）继续教育的内容和形式要求 </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left w:val="single" w:color="auto"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（2）继续教育学分管理</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left w:val="single" w:color="auto"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(二）执业药师职业道德与服务规范</w:t>
            </w:r>
          </w:p>
        </w:tc>
        <w:tc>
          <w:tcPr>
            <w:tcW w:w="2835"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1.执业药师职业道德</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我国执业药师职业道德准则的具体内容</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left w:val="single" w:color="auto"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2.执业药师药学服务规范</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我国执业药师药学服务规范的主要内容</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left w:val="single" w:color="auto"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restart"/>
            <w:tcBorders>
              <w:top w:val="nil"/>
              <w:left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(三）药品与药品安全管理</w:t>
            </w: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1.药品和药品安全</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（1）药品的界定、质量特性 </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left w:val="single" w:color="auto"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left w:val="single" w:color="auto"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（2）药品安全的重要性</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left w:val="single" w:color="auto"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left w:val="single" w:color="auto"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2.药品安全管理</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（1）药品安全风险的特点、分类 </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left w:val="single" w:color="auto"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left w:val="single" w:color="auto" w:sz="4" w:space="0"/>
              <w:bottom w:val="single" w:color="auto"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（2）药品安全风险管理的主要措施</w:t>
            </w:r>
          </w:p>
        </w:tc>
      </w:tr>
      <w:tr>
        <w:tblPrEx>
          <w:tblLayout w:type="fixed"/>
          <w:tblCellMar>
            <w:top w:w="0" w:type="dxa"/>
            <w:left w:w="108" w:type="dxa"/>
            <w:bottom w:w="0" w:type="dxa"/>
            <w:right w:w="108" w:type="dxa"/>
          </w:tblCellMar>
        </w:tblPrEx>
        <w:trPr>
          <w:trHeight w:val="270" w:hRule="atLeast"/>
          <w:jc w:val="center"/>
        </w:trPr>
        <w:tc>
          <w:tcPr>
            <w:tcW w:w="980" w:type="dxa"/>
            <w:vMerge w:val="restart"/>
            <w:tcBorders>
              <w:left w:val="single" w:color="auto"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restart"/>
            <w:tcBorders>
              <w:top w:val="single" w:color="auto" w:sz="4" w:space="0"/>
              <w:left w:val="single" w:color="auto"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restart"/>
            <w:tcBorders>
              <w:top w:val="nil"/>
              <w:left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3.我国药品安全管理的目标任务</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（1）总体目标 </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left w:val="single" w:color="auto"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left w:val="single" w:color="auto"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left w:val="single" w:color="auto"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（2）规划指标 </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left w:val="single" w:color="auto"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left w:val="single" w:color="auto"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left w:val="single" w:color="auto"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（3）主要任务 </w:t>
            </w:r>
          </w:p>
        </w:tc>
      </w:tr>
      <w:tr>
        <w:tblPrEx>
          <w:tblLayout w:type="fixed"/>
          <w:tblCellMar>
            <w:top w:w="0" w:type="dxa"/>
            <w:left w:w="108" w:type="dxa"/>
            <w:bottom w:w="0" w:type="dxa"/>
            <w:right w:w="108" w:type="dxa"/>
          </w:tblCellMar>
        </w:tblPrEx>
        <w:trPr>
          <w:trHeight w:val="450" w:hRule="atLeast"/>
          <w:jc w:val="center"/>
        </w:trPr>
        <w:tc>
          <w:tcPr>
            <w:tcW w:w="980" w:type="dxa"/>
            <w:vMerge w:val="continue"/>
            <w:tcBorders>
              <w:left w:val="single" w:color="auto" w:sz="4" w:space="0"/>
              <w:bottom w:val="single" w:color="auto"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left w:val="single" w:color="auto" w:sz="4" w:space="0"/>
              <w:bottom w:val="single" w:color="auto"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left w:val="single" w:color="auto" w:sz="4" w:space="0"/>
              <w:bottom w:val="single" w:color="auto"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（4）保障措施</w:t>
            </w:r>
          </w:p>
        </w:tc>
      </w:tr>
      <w:tr>
        <w:tblPrEx>
          <w:tblLayout w:type="fixed"/>
          <w:tblCellMar>
            <w:top w:w="0" w:type="dxa"/>
            <w:left w:w="108" w:type="dxa"/>
            <w:bottom w:w="0" w:type="dxa"/>
            <w:right w:w="108" w:type="dxa"/>
          </w:tblCellMar>
        </w:tblPrEx>
        <w:trPr>
          <w:trHeight w:val="119" w:hRule="atLeast"/>
          <w:jc w:val="center"/>
        </w:trPr>
        <w:tc>
          <w:tcPr>
            <w:tcW w:w="980" w:type="dxa"/>
            <w:tcBorders>
              <w:top w:val="single" w:color="auto" w:sz="4" w:space="0"/>
              <w:left w:val="single" w:color="auto"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tcBorders>
              <w:top w:val="single" w:color="auto" w:sz="4" w:space="0"/>
              <w:left w:val="single" w:color="auto"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tcBorders>
              <w:top w:val="single" w:color="auto" w:sz="4" w:space="0"/>
              <w:left w:val="single" w:color="auto" w:sz="4" w:space="0"/>
              <w:right w:val="single" w:color="auto" w:sz="4" w:space="0"/>
            </w:tcBorders>
            <w:vAlign w:val="center"/>
          </w:tcPr>
          <w:p>
            <w:pPr>
              <w:ind w:left="0" w:firstLine="0" w:firstLineChars="0"/>
              <w:jc w:val="left"/>
              <w:rPr>
                <w:rFonts w:cs="宋体" w:asciiTheme="minorEastAsia" w:hAnsiTheme="minorEastAsia"/>
                <w:kern w:val="0"/>
                <w:sz w:val="24"/>
                <w:szCs w:val="24"/>
              </w:rPr>
            </w:pPr>
          </w:p>
        </w:tc>
        <w:tc>
          <w:tcPr>
            <w:tcW w:w="4004" w:type="dxa"/>
            <w:tcBorders>
              <w:top w:val="single" w:color="auto" w:sz="4" w:space="0"/>
              <w:left w:val="nil"/>
              <w:right w:val="single" w:color="auto" w:sz="4" w:space="0"/>
            </w:tcBorders>
            <w:shd w:val="clear" w:color="auto" w:fill="auto"/>
            <w:vAlign w:val="center"/>
          </w:tcPr>
          <w:p>
            <w:pPr>
              <w:ind w:left="0" w:firstLine="0" w:firstLineChars="0"/>
              <w:jc w:val="left"/>
              <w:rPr>
                <w:rFonts w:hint="eastAsia" w:cs="宋体" w:asciiTheme="minorEastAsia" w:hAnsiTheme="minorEastAsia"/>
                <w:kern w:val="0"/>
                <w:sz w:val="24"/>
                <w:szCs w:val="24"/>
              </w:rPr>
            </w:pPr>
          </w:p>
        </w:tc>
      </w:tr>
      <w:tr>
        <w:tblPrEx>
          <w:tblLayout w:type="fixed"/>
          <w:tblCellMar>
            <w:top w:w="0" w:type="dxa"/>
            <w:left w:w="108" w:type="dxa"/>
            <w:bottom w:w="0" w:type="dxa"/>
            <w:right w:w="108" w:type="dxa"/>
          </w:tblCellMar>
        </w:tblPrEx>
        <w:trPr>
          <w:trHeight w:val="270" w:hRule="atLeast"/>
          <w:jc w:val="center"/>
        </w:trPr>
        <w:tc>
          <w:tcPr>
            <w:tcW w:w="980" w:type="dxa"/>
            <w:vMerge w:val="restart"/>
            <w:tcBorders>
              <w:top w:val="nil"/>
              <w:left w:val="single" w:color="auto" w:sz="4" w:space="0"/>
              <w:bottom w:val="single" w:color="000000" w:sz="4" w:space="0"/>
              <w:right w:val="single" w:color="auto" w:sz="4" w:space="0"/>
            </w:tcBorders>
            <w:shd w:val="clear" w:color="auto" w:fill="auto"/>
            <w:textDirection w:val="tbRlV"/>
            <w:vAlign w:val="center"/>
          </w:tcPr>
          <w:p>
            <w:pPr>
              <w:widowControl/>
              <w:ind w:left="0" w:firstLine="0" w:firstLineChars="0"/>
              <w:jc w:val="center"/>
              <w:rPr>
                <w:rFonts w:cs="宋体" w:asciiTheme="minorEastAsia" w:hAnsiTheme="minorEastAsia"/>
                <w:kern w:val="0"/>
                <w:sz w:val="24"/>
                <w:szCs w:val="24"/>
              </w:rPr>
            </w:pPr>
            <w:r>
              <w:rPr>
                <w:rFonts w:hint="eastAsia" w:cs="宋体" w:asciiTheme="minorEastAsia" w:hAnsiTheme="minorEastAsia"/>
                <w:kern w:val="0"/>
                <w:sz w:val="24"/>
                <w:szCs w:val="24"/>
              </w:rPr>
              <w:t>二  医药卫生体制改革与国家基本药物制度</w:t>
            </w:r>
          </w:p>
        </w:tc>
        <w:tc>
          <w:tcPr>
            <w:tcW w:w="2010"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（一）深化医药卫生体制改革</w:t>
            </w: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1.基本原则和总体目标</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（1）基本原则</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（2）总体目标</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2.建立国家基本医疗卫生制度</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公共卫生服务体系、医疗服务体系、医疗保障体系、药品供应保障体系的基本内容</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3.完善保障医药卫生体系有效规范运转的体制机制</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完善体制机制的基本内容</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4.药品供应保障体系</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建立健全药品供应保障体系的主要要求和内容</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restart"/>
            <w:tcBorders>
              <w:top w:val="nil"/>
              <w:left w:val="single" w:color="auto"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（二）药品供应保障制度</w:t>
            </w:r>
          </w:p>
        </w:tc>
        <w:tc>
          <w:tcPr>
            <w:tcW w:w="2835"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hint="eastAsia" w:cs="宋体" w:asciiTheme="minorEastAsia" w:hAnsiTheme="minorEastAsia"/>
                <w:kern w:val="0"/>
                <w:sz w:val="24"/>
                <w:szCs w:val="24"/>
              </w:rPr>
            </w:pPr>
            <w:r>
              <w:rPr>
                <w:rFonts w:hint="eastAsia" w:cs="宋体" w:asciiTheme="minorEastAsia" w:hAnsiTheme="minorEastAsia"/>
                <w:kern w:val="0"/>
                <w:sz w:val="24"/>
                <w:szCs w:val="24"/>
              </w:rPr>
              <w:t>1.健全药品供应保障制度</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hint="eastAsia" w:cs="宋体" w:asciiTheme="minorEastAsia" w:hAnsiTheme="minorEastAsia"/>
                <w:kern w:val="0"/>
                <w:sz w:val="24"/>
                <w:szCs w:val="24"/>
              </w:rPr>
            </w:pPr>
            <w:r>
              <w:rPr>
                <w:rFonts w:hint="eastAsia" w:cs="宋体" w:asciiTheme="minorEastAsia" w:hAnsiTheme="minorEastAsia"/>
                <w:kern w:val="0"/>
                <w:sz w:val="24"/>
                <w:szCs w:val="24"/>
              </w:rPr>
              <w:t>《“十三五”深化医药卫生体制改革规划》中健全供应保障制度的任务和要求</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left w:val="single" w:color="auto"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hint="eastAsia" w:cs="宋体" w:asciiTheme="minorEastAsia" w:hAnsiTheme="minorEastAsia"/>
                <w:kern w:val="0"/>
                <w:sz w:val="24"/>
                <w:szCs w:val="24"/>
              </w:rPr>
            </w:pPr>
            <w:r>
              <w:rPr>
                <w:rFonts w:hint="eastAsia" w:cs="宋体" w:asciiTheme="minorEastAsia" w:hAnsiTheme="minorEastAsia"/>
                <w:kern w:val="0"/>
                <w:sz w:val="24"/>
                <w:szCs w:val="24"/>
              </w:rPr>
              <w:t>2.改革完善药品生产流通使用政策</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hint="eastAsia" w:cs="宋体" w:asciiTheme="minorEastAsia" w:hAnsiTheme="minorEastAsia"/>
                <w:kern w:val="0"/>
                <w:sz w:val="24"/>
                <w:szCs w:val="24"/>
              </w:rPr>
            </w:pPr>
            <w:r>
              <w:rPr>
                <w:rFonts w:hint="eastAsia" w:cs="宋体" w:asciiTheme="minorEastAsia" w:hAnsiTheme="minorEastAsia"/>
                <w:kern w:val="0"/>
                <w:sz w:val="24"/>
                <w:szCs w:val="24"/>
              </w:rPr>
              <w:t>《关于进一步改革完善药品生产流通使用政策的若干意见》的主要内容</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hint="eastAsia" w:cs="宋体" w:asciiTheme="minorEastAsia" w:hAnsiTheme="minorEastAsia"/>
                <w:kern w:val="0"/>
                <w:sz w:val="24"/>
                <w:szCs w:val="24"/>
              </w:rPr>
            </w:pPr>
            <w:r>
              <w:rPr>
                <w:rFonts w:hint="eastAsia" w:cs="宋体" w:asciiTheme="minorEastAsia" w:hAnsiTheme="minorEastAsia"/>
                <w:kern w:val="0"/>
                <w:sz w:val="24"/>
                <w:szCs w:val="24"/>
              </w:rPr>
              <w:t>3.改革完善短缺药品供应保障机制</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hint="eastAsia" w:cs="宋体" w:asciiTheme="minorEastAsia" w:hAnsiTheme="minorEastAsia"/>
                <w:kern w:val="0"/>
                <w:sz w:val="24"/>
                <w:szCs w:val="24"/>
              </w:rPr>
            </w:pPr>
            <w:r>
              <w:rPr>
                <w:rFonts w:hint="eastAsia" w:cs="宋体" w:asciiTheme="minorEastAsia" w:hAnsiTheme="minorEastAsia"/>
                <w:kern w:val="0"/>
                <w:sz w:val="24"/>
                <w:szCs w:val="24"/>
              </w:rPr>
              <w:t>短缺药品供应保障机制的主要内容</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(三）国家基本药物制度</w:t>
            </w:r>
          </w:p>
        </w:tc>
        <w:tc>
          <w:tcPr>
            <w:tcW w:w="2835" w:type="dxa"/>
            <w:vMerge w:val="restart"/>
            <w:tcBorders>
              <w:top w:val="nil"/>
              <w:left w:val="nil"/>
              <w:right w:val="single" w:color="auto" w:sz="4" w:space="0"/>
            </w:tcBorders>
            <w:shd w:val="clear" w:color="auto" w:fill="auto"/>
            <w:vAlign w:val="center"/>
          </w:tcPr>
          <w:p>
            <w:pPr>
              <w:widowControl/>
              <w:ind w:left="0" w:firstLine="0" w:firstLineChars="0"/>
              <w:jc w:val="center"/>
              <w:rPr>
                <w:rFonts w:cs="宋体" w:asciiTheme="minorEastAsia" w:hAnsiTheme="minorEastAsia"/>
                <w:kern w:val="0"/>
                <w:sz w:val="24"/>
                <w:szCs w:val="24"/>
              </w:rPr>
            </w:pPr>
            <w:r>
              <w:rPr>
                <w:rFonts w:hint="eastAsia" w:cs="宋体" w:asciiTheme="minorEastAsia" w:hAnsiTheme="minorEastAsia"/>
                <w:kern w:val="0"/>
                <w:sz w:val="24"/>
                <w:szCs w:val="24"/>
              </w:rPr>
              <w:t>1.国家基本药物制度的内涵</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（1）基本药物和国家基本药物制度的界定与主要内容</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left w:val="nil"/>
              <w:right w:val="single" w:color="auto" w:sz="4" w:space="0"/>
            </w:tcBorders>
            <w:shd w:val="clear" w:color="auto" w:fill="auto"/>
            <w:vAlign w:val="center"/>
          </w:tcPr>
          <w:p>
            <w:pPr>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（2）实施基本药物制度的目标</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（3）基本药物管理部门及职能</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restart"/>
            <w:tcBorders>
              <w:top w:val="nil"/>
              <w:left w:val="nil"/>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2.国家基本药物目录管理</w:t>
            </w:r>
          </w:p>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　</w:t>
            </w:r>
          </w:p>
          <w:p>
            <w:pPr>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（1）基本药物遴选原则和范围</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left w:val="nil"/>
              <w:right w:val="single" w:color="auto" w:sz="4" w:space="0"/>
            </w:tcBorders>
            <w:shd w:val="clear" w:color="auto" w:fill="auto"/>
            <w:vAlign w:val="center"/>
          </w:tcPr>
          <w:p>
            <w:pPr>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（2）国家基本药物目录调整依据和周期</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（3）国家基本药物目录构成</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restart"/>
            <w:tcBorders>
              <w:top w:val="nil"/>
              <w:left w:val="nil"/>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3.基本药物质量监督管理</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（1）基本药物质量监管机构及职能 </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left w:val="nil"/>
              <w:right w:val="single" w:color="auto" w:sz="4" w:space="0"/>
            </w:tcBorders>
            <w:shd w:val="clear" w:color="auto" w:fill="auto"/>
            <w:vAlign w:val="center"/>
          </w:tcPr>
          <w:p>
            <w:pPr>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（2）基本药物质量监管要求</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（3）药品追溯体系的规定</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restart"/>
            <w:tcBorders>
              <w:top w:val="nil"/>
              <w:left w:val="nil"/>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4.基本药物釆购管理</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（1）基本药物集中釆购总体思路 </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（2）基本药物集中采购主要措施</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restart"/>
            <w:tcBorders>
              <w:top w:val="nil"/>
              <w:left w:val="nil"/>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5.基本药物的报销与补偿</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（1）基本药物报销规定</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（2）基本药物补偿规定</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6.基本药物使用管理</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基本药物使用主要要求</w:t>
            </w:r>
          </w:p>
        </w:tc>
      </w:tr>
      <w:tr>
        <w:tblPrEx>
          <w:tblLayout w:type="fixed"/>
          <w:tblCellMar>
            <w:top w:w="0" w:type="dxa"/>
            <w:left w:w="108" w:type="dxa"/>
            <w:bottom w:w="0" w:type="dxa"/>
            <w:right w:w="108" w:type="dxa"/>
          </w:tblCellMar>
        </w:tblPrEx>
        <w:trPr>
          <w:trHeight w:val="540" w:hRule="atLeast"/>
          <w:jc w:val="center"/>
        </w:trPr>
        <w:tc>
          <w:tcPr>
            <w:tcW w:w="980" w:type="dxa"/>
            <w:vMerge w:val="restart"/>
            <w:tcBorders>
              <w:top w:val="nil"/>
              <w:left w:val="single" w:color="auto" w:sz="4" w:space="0"/>
              <w:bottom w:val="single" w:color="000000" w:sz="4" w:space="0"/>
              <w:right w:val="single" w:color="auto" w:sz="4" w:space="0"/>
            </w:tcBorders>
            <w:shd w:val="clear" w:color="auto" w:fill="auto"/>
            <w:textDirection w:val="tbRlV"/>
            <w:vAlign w:val="center"/>
          </w:tcPr>
          <w:p>
            <w:pPr>
              <w:widowControl/>
              <w:ind w:left="0" w:firstLine="0" w:firstLineChars="0"/>
              <w:jc w:val="center"/>
              <w:rPr>
                <w:rFonts w:cs="宋体" w:asciiTheme="minorEastAsia" w:hAnsiTheme="minorEastAsia"/>
                <w:kern w:val="0"/>
                <w:sz w:val="24"/>
                <w:szCs w:val="24"/>
              </w:rPr>
            </w:pPr>
            <w:r>
              <w:rPr>
                <w:rFonts w:hint="eastAsia" w:cs="宋体" w:asciiTheme="minorEastAsia" w:hAnsiTheme="minorEastAsia"/>
                <w:kern w:val="0"/>
                <w:sz w:val="24"/>
                <w:szCs w:val="24"/>
              </w:rPr>
              <w:t>三  药品监督管理体制与法律体系</w:t>
            </w:r>
          </w:p>
        </w:tc>
        <w:tc>
          <w:tcPr>
            <w:tcW w:w="2010"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(一）药品监督管理机构</w:t>
            </w:r>
          </w:p>
        </w:tc>
        <w:tc>
          <w:tcPr>
            <w:tcW w:w="2835"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1.药品监督管理部门</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国家和地方药品监督管理部门与药品管理相关的职责</w:t>
            </w:r>
          </w:p>
        </w:tc>
      </w:tr>
      <w:tr>
        <w:tblPrEx>
          <w:tblLayout w:type="fixed"/>
          <w:tblCellMar>
            <w:top w:w="0" w:type="dxa"/>
            <w:left w:w="108" w:type="dxa"/>
            <w:bottom w:w="0" w:type="dxa"/>
            <w:right w:w="108" w:type="dxa"/>
          </w:tblCellMar>
        </w:tblPrEx>
        <w:trPr>
          <w:trHeight w:val="135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2.药品管理工作相关部门</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卫生计生部门、中医药管理部门、发展改革宏观调控部门、人力资源和社会保障部门、工商行政管理部门、工业和信息化管理部 门、商务管理部门、海关、公安部门等与药品管理相关的职责</w:t>
            </w:r>
          </w:p>
        </w:tc>
      </w:tr>
      <w:tr>
        <w:tblPrEx>
          <w:tblLayout w:type="fixed"/>
          <w:tblCellMar>
            <w:top w:w="0" w:type="dxa"/>
            <w:left w:w="108" w:type="dxa"/>
            <w:bottom w:w="0" w:type="dxa"/>
            <w:right w:w="108" w:type="dxa"/>
          </w:tblCellMar>
        </w:tblPrEx>
        <w:trPr>
          <w:trHeight w:val="135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(二）药品监督管理技术支撑机构</w:t>
            </w:r>
          </w:p>
        </w:tc>
        <w:tc>
          <w:tcPr>
            <w:tcW w:w="2835"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国家药品监督管理技术支撑机构的职责</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中国食品药品检定研究院、国家药典委员会、药品审评中心、食品药品审核查验中心、药品评价中心、国家中药品种保护审评委员会、行政事项受理服务和投诉举报中心、执业药师资格认证中心与执业药师执业相关的职责</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(三）药品管理立法</w:t>
            </w:r>
          </w:p>
        </w:tc>
        <w:tc>
          <w:tcPr>
            <w:tcW w:w="2835"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1.法的基本知识</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法的特征、法律渊源、法律效力、法律责任</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2.药品管理法律体系和法律关系</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（1）药品管理法律体系</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（2）药品管理法律关系</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(四）药品监督管理行政法律制度</w:t>
            </w:r>
          </w:p>
        </w:tc>
        <w:tc>
          <w:tcPr>
            <w:tcW w:w="2835" w:type="dxa"/>
            <w:vMerge w:val="restart"/>
            <w:tcBorders>
              <w:top w:val="nil"/>
              <w:left w:val="nil"/>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1.行政许可</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（1）设定和实施行政许可的原则和事项</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left w:val="nil"/>
              <w:right w:val="single" w:color="auto" w:sz="4" w:space="0"/>
            </w:tcBorders>
            <w:shd w:val="clear" w:color="auto" w:fill="auto"/>
            <w:vAlign w:val="center"/>
          </w:tcPr>
          <w:p>
            <w:pPr>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（2）行政许可申请和受理</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（3）撤销行政许可的情形</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restart"/>
            <w:tcBorders>
              <w:top w:val="nil"/>
              <w:left w:val="nil"/>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2.行政强制</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（1）行政强制措施的种类</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（2）行政强制执行的方式</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3.行政处罚</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行政处罚的决定及程序</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4.行政复议</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行政复议的范围、申请和期限</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5.行政诉讼</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行政诉讼的受案范围、起诉和受理</w:t>
            </w:r>
          </w:p>
        </w:tc>
      </w:tr>
      <w:tr>
        <w:tblPrEx>
          <w:tblLayout w:type="fixed"/>
          <w:tblCellMar>
            <w:top w:w="0" w:type="dxa"/>
            <w:left w:w="108" w:type="dxa"/>
            <w:bottom w:w="0" w:type="dxa"/>
            <w:right w:w="108" w:type="dxa"/>
          </w:tblCellMar>
        </w:tblPrEx>
        <w:trPr>
          <w:trHeight w:val="540" w:hRule="atLeast"/>
          <w:jc w:val="center"/>
        </w:trPr>
        <w:tc>
          <w:tcPr>
            <w:tcW w:w="980" w:type="dxa"/>
            <w:vMerge w:val="restart"/>
            <w:tcBorders>
              <w:top w:val="nil"/>
              <w:left w:val="single" w:color="auto" w:sz="4" w:space="0"/>
              <w:right w:val="single" w:color="auto" w:sz="4" w:space="0"/>
            </w:tcBorders>
            <w:shd w:val="clear" w:color="auto" w:fill="auto"/>
            <w:textDirection w:val="tbRlV"/>
            <w:vAlign w:val="center"/>
          </w:tcPr>
          <w:p>
            <w:pPr>
              <w:widowControl/>
              <w:ind w:left="0" w:firstLine="0" w:firstLineChars="0"/>
              <w:jc w:val="center"/>
              <w:rPr>
                <w:rFonts w:cs="宋体" w:asciiTheme="minorEastAsia" w:hAnsiTheme="minorEastAsia"/>
                <w:kern w:val="0"/>
                <w:sz w:val="24"/>
                <w:szCs w:val="24"/>
              </w:rPr>
            </w:pPr>
            <w:r>
              <w:rPr>
                <w:rFonts w:hint="eastAsia" w:cs="宋体" w:asciiTheme="minorEastAsia" w:hAnsiTheme="minorEastAsia"/>
                <w:kern w:val="0"/>
                <w:sz w:val="24"/>
                <w:szCs w:val="24"/>
              </w:rPr>
              <w:t>四  药品研制与生产管理</w:t>
            </w:r>
          </w:p>
        </w:tc>
        <w:tc>
          <w:tcPr>
            <w:tcW w:w="2010" w:type="dxa"/>
            <w:vMerge w:val="restart"/>
            <w:tcBorders>
              <w:top w:val="nil"/>
              <w:left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(一）药品研制与注册管理</w:t>
            </w:r>
          </w:p>
        </w:tc>
        <w:tc>
          <w:tcPr>
            <w:tcW w:w="2835" w:type="dxa"/>
            <w:vMerge w:val="restart"/>
            <w:tcBorders>
              <w:top w:val="nil"/>
              <w:left w:val="nil"/>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1.药品研制与质量管理规范</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（1）药物临床试验的分期和目的</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left w:val="single" w:color="auto"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left w:val="single" w:color="auto"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（2）药物非临床研宄质量管理规范和药物临床试验质量管理规范的基本要求</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left w:val="single" w:color="auto"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left w:val="single" w:color="auto"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restart"/>
            <w:tcBorders>
              <w:top w:val="nil"/>
              <w:left w:val="nil"/>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2.药品注册管理与审评审批制度改革</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（1）药品医疗器械审评审批改革内容</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left w:val="single" w:color="auto"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left w:val="single" w:color="auto"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left w:val="nil"/>
              <w:right w:val="single" w:color="auto" w:sz="4" w:space="0"/>
            </w:tcBorders>
            <w:shd w:val="clear" w:color="auto" w:fill="auto"/>
            <w:vAlign w:val="center"/>
          </w:tcPr>
          <w:p>
            <w:pPr>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（2）药品注册和药品注册申请的界定</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left w:val="single" w:color="auto"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left w:val="single" w:color="auto"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（3）药品注册管理机构</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left w:val="single" w:color="auto"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left w:val="single" w:color="auto"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restart"/>
            <w:tcBorders>
              <w:top w:val="nil"/>
              <w:left w:val="nil"/>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　</w:t>
            </w:r>
          </w:p>
          <w:p>
            <w:pPr>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（4）药品注册分类</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left w:val="single" w:color="auto"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left w:val="single" w:color="auto"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（5）药品批准文件</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left w:val="single" w:color="auto"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left w:val="single" w:color="auto"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（6）新药监测期</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left w:val="single" w:color="auto"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3.药品再评价</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药品再评价的管理</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hint="eastAsia" w:cs="宋体" w:asciiTheme="minorEastAsia" w:hAnsiTheme="minorEastAsia"/>
                <w:kern w:val="0"/>
                <w:sz w:val="24"/>
                <w:szCs w:val="24"/>
              </w:rPr>
            </w:pPr>
            <w:r>
              <w:rPr>
                <w:rFonts w:hint="eastAsia" w:cs="宋体" w:asciiTheme="minorEastAsia" w:hAnsiTheme="minorEastAsia"/>
                <w:kern w:val="0"/>
                <w:sz w:val="24"/>
                <w:szCs w:val="24"/>
              </w:rPr>
              <w:t>4.中国上市药品目录集</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hint="eastAsia" w:cs="宋体" w:asciiTheme="minorEastAsia" w:hAnsiTheme="minorEastAsia"/>
                <w:kern w:val="0"/>
                <w:sz w:val="24"/>
                <w:szCs w:val="24"/>
              </w:rPr>
            </w:pPr>
            <w:r>
              <w:rPr>
                <w:rFonts w:hint="eastAsia" w:cs="宋体" w:asciiTheme="minorEastAsia" w:hAnsiTheme="minorEastAsia"/>
                <w:kern w:val="0"/>
                <w:sz w:val="24"/>
                <w:szCs w:val="24"/>
              </w:rPr>
              <w:t>收录药品的范围和具体信息</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(二）药品生产管理</w:t>
            </w: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1.药品生产许可</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（1）药品生产许可的申请和审批</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（2）药品生产许可证管理</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2.药品生产质量管理规</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（1）GMP的基本要求和实施</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（2）药品批次划分原则</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（3）GMP认证与检查的基本要求</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3.药品委托生产管理</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（1）委托生产的界定</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（2）委托生产品种限制</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4.药品召回管理</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（1）药品召回和药品安全隐患的界定</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（2）药品生产、经营企业和使用单位有关药品召回的义务</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（3）主动召回和责令召回</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（4）药品召回的监督管理</w:t>
            </w:r>
          </w:p>
        </w:tc>
      </w:tr>
      <w:tr>
        <w:tblPrEx>
          <w:tblLayout w:type="fixed"/>
          <w:tblCellMar>
            <w:top w:w="0" w:type="dxa"/>
            <w:left w:w="108" w:type="dxa"/>
            <w:bottom w:w="0" w:type="dxa"/>
            <w:right w:w="108" w:type="dxa"/>
          </w:tblCellMar>
        </w:tblPrEx>
        <w:trPr>
          <w:trHeight w:val="540" w:hRule="atLeast"/>
          <w:jc w:val="center"/>
        </w:trPr>
        <w:tc>
          <w:tcPr>
            <w:tcW w:w="980" w:type="dxa"/>
            <w:vMerge w:val="restart"/>
            <w:tcBorders>
              <w:top w:val="nil"/>
              <w:left w:val="single" w:color="auto" w:sz="4" w:space="0"/>
              <w:bottom w:val="single" w:color="000000" w:sz="4" w:space="0"/>
              <w:right w:val="single" w:color="auto" w:sz="4" w:space="0"/>
            </w:tcBorders>
            <w:shd w:val="clear" w:color="auto" w:fill="auto"/>
            <w:textDirection w:val="tbRlV"/>
            <w:vAlign w:val="center"/>
          </w:tcPr>
          <w:p>
            <w:pPr>
              <w:widowControl/>
              <w:ind w:left="0" w:firstLine="0" w:firstLineChars="0"/>
              <w:jc w:val="center"/>
              <w:rPr>
                <w:rFonts w:cs="宋体" w:asciiTheme="minorEastAsia" w:hAnsiTheme="minorEastAsia"/>
                <w:kern w:val="0"/>
                <w:sz w:val="24"/>
                <w:szCs w:val="24"/>
              </w:rPr>
            </w:pPr>
            <w:r>
              <w:rPr>
                <w:rFonts w:hint="eastAsia" w:cs="宋体" w:asciiTheme="minorEastAsia" w:hAnsiTheme="minorEastAsia"/>
                <w:kern w:val="0"/>
                <w:sz w:val="24"/>
                <w:szCs w:val="24"/>
              </w:rPr>
              <w:t>五  药品经营与使用管理</w:t>
            </w:r>
          </w:p>
        </w:tc>
        <w:tc>
          <w:tcPr>
            <w:tcW w:w="2010"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(一）药品经营管理</w:t>
            </w: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1.药品经营许可</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（1）药品经营（批发、零售）许可的申请和审批</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（2）药品经营许可证的管理</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2.药品经营质量管理规范</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（1）药品批发的质量管理 </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（2）药品零售的质量管理</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（3）GSP认证与检查的基本内容和要求</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3.药品购销管理</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（1）禁止无证经营、禁止销售假劣药和其他不得从事的经营活动</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（2）购销药品应遵守的规定和要求</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（3）购销人员的管理</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（4）购销记录、销售凭证的管理</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4.互联网药品经营管理</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（1）从事互联网药品信息服务的资格、申请与审批、监督管理</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（2）互联网药品交易服务的类型 </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（3）从事互联网药品交易服务的主体资格、申请与审批、监督管理</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(二）药品使用管理</w:t>
            </w: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1.医疗机构药事管理</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（1）医疗机构药事管理主要内容</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（2）药事管理组织和药学部门</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2.药品釆购与库存管理</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（1）药品釆购规定</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（2）药品进货检查验收制度和购进（验收）记录管理</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（3）药品库存管理和保管、养护规定</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3.处方与调配管理</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（1）处方和处方管理</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（2）处方开具、调剂和审核</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（3）处方点评制度</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（4）不得从事处方调剂工作的规定 </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（5）处方保存期限及销毁程序 </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（6）麻醉药品、精神药品专册登记的规定</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（7）违反处方管理和调剂要求的法律责任</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4.医疗机构制剂管理</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（1）医疗机构制剂与许可证管理</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（2）医疗机构自配制剂注册和品种范围</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（3）医疗机构制剂注册批件及批准文号格式</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（4）医疗机构制剂的调剂使用</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5.药物临床应用管理</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（1）合理用药的原则</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（2）药物临床应用管理的具体规定</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（3）抗菌药物分级管理</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（4）抗菌药物的购进、使用及定期评估</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（5）抗菌药物处方权、调剂资格授予和监督管理</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（6）抗菌药物临床应用监测、细菌耐药监测和合理使用</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（7）抗菌药物临床应用异常情况及处理</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(三）药品分类管理</w:t>
            </w: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1.药品分类管理制度的建立</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（1）药品分类管理的目的</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（2）执业药师、监管部门在分类管理中的职责</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2.非处方药和处方药分类管理的实施</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（1）非处方药、处方药、“双跨”药品的界定和依据</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（2）非处方药的分类和专有标识的管理</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（3）非处方药的管理要求 </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（4）处方药的管理要求 </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（5）“双跨”药品的管理要求</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3.非处方药目录遴选和转换评价</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（1）非处方药目录及目录的遴选、审批和发布</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（2）处方药与非处方药的转换评价</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4.处方药与非处方药的流通管理</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（1）生产、批发企业销售处方药与非处方药的要求</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（2）零售药店销售处方药与非处方药的要求</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（3）零售药店不得经营的药品种类 </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（4）零售药店必须凭处方销售的药品种类</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(四）医疗保障用药管理</w:t>
            </w: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1.基本医疗保险体系</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（1）我国基本医疗保险体系的构成</w:t>
            </w:r>
          </w:p>
        </w:tc>
      </w:tr>
      <w:tr>
        <w:tblPrEx>
          <w:tblLayout w:type="fixed"/>
          <w:tblCellMar>
            <w:top w:w="0" w:type="dxa"/>
            <w:left w:w="108" w:type="dxa"/>
            <w:bottom w:w="0" w:type="dxa"/>
            <w:right w:w="108" w:type="dxa"/>
          </w:tblCellMar>
        </w:tblPrEx>
        <w:trPr>
          <w:trHeight w:val="81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（2）城镇职工基本医疗保险的覆盖范围、统筹层次和缴费办法、统筹基金和个人账户、定点管理</w:t>
            </w:r>
          </w:p>
        </w:tc>
      </w:tr>
      <w:tr>
        <w:tblPrEx>
          <w:tblLayout w:type="fixed"/>
          <w:tblCellMar>
            <w:top w:w="0" w:type="dxa"/>
            <w:left w:w="108" w:type="dxa"/>
            <w:bottom w:w="0" w:type="dxa"/>
            <w:right w:w="108" w:type="dxa"/>
          </w:tblCellMar>
        </w:tblPrEx>
        <w:trPr>
          <w:trHeight w:val="81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（3）城镇居民基本医疗保险的参保范围、筹资水平、缴费和补助、费用支付、定点管理</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（4）新型农村合作医疗的覆盖范围和统筹层次、筹资标准</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2.基本医疗保险药品目录</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（1）医保药品目录的确定原则和条件</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（2）不得纳入基本医疗保险用药范围的药品</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（3）医保药品目录的分类、制定与调整</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（4）医保药品使用的费用支付原则</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（5）对定点医疗机构和零售药店使用医保药品目录的管理要求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4" w:hRule="atLeast"/>
          <w:jc w:val="center"/>
        </w:trPr>
        <w:tc>
          <w:tcPr>
            <w:tcW w:w="980" w:type="dxa"/>
            <w:vMerge w:val="continue"/>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vAlign w:val="center"/>
          </w:tcPr>
          <w:p>
            <w:pPr>
              <w:widowControl/>
              <w:ind w:left="0" w:firstLine="0" w:firstLineChars="0"/>
              <w:jc w:val="left"/>
              <w:rPr>
                <w:rFonts w:cs="宋体" w:asciiTheme="minorEastAsia" w:hAnsiTheme="minorEastAsia"/>
                <w:kern w:val="0"/>
                <w:sz w:val="24"/>
                <w:szCs w:val="24"/>
              </w:rPr>
            </w:pPr>
          </w:p>
        </w:tc>
        <w:tc>
          <w:tcPr>
            <w:tcW w:w="2835" w:type="dxa"/>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3.基本医疗保险定点医药机构协议管理</w:t>
            </w:r>
          </w:p>
        </w:tc>
        <w:tc>
          <w:tcPr>
            <w:tcW w:w="4004" w:type="dxa"/>
            <w:shd w:val="clear" w:color="auto" w:fill="auto"/>
            <w:vAlign w:val="center"/>
          </w:tcPr>
          <w:p>
            <w:pPr>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医药机构协议管理的具体政策和要求</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(五）药品不良反应报告与监测管理</w:t>
            </w: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1.药品不良反应的界定和分类</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（1）药品不良反应及相关术语的界定和区分</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（2）药品不良反应的分类</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2.药品不良反应报告和处置</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（1）药品不良反应报告主体、报告范围、监督主体</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（2）个例药品不良反应的报告和处置</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（3）药品群体不良事件的报告和处置</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（4）境外发生的严重药品不良反应的报告和处置</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（5）定期安全性更新报告</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3.药品重点监测</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药品重点监测的范围和要求</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4.药品不良反应评价与控制</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（1）药品生产企业对药品不良反应的评价与控制</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（2）药品不良反应监测机构对药品不良反应的评价与控制</w:t>
            </w:r>
          </w:p>
        </w:tc>
      </w:tr>
      <w:tr>
        <w:tblPrEx>
          <w:tblLayout w:type="fixed"/>
          <w:tblCellMar>
            <w:top w:w="0" w:type="dxa"/>
            <w:left w:w="108" w:type="dxa"/>
            <w:bottom w:w="0" w:type="dxa"/>
            <w:right w:w="108" w:type="dxa"/>
          </w:tblCellMar>
        </w:tblPrEx>
        <w:trPr>
          <w:trHeight w:val="270" w:hRule="atLeast"/>
          <w:jc w:val="center"/>
        </w:trPr>
        <w:tc>
          <w:tcPr>
            <w:tcW w:w="980" w:type="dxa"/>
            <w:vMerge w:val="restart"/>
            <w:tcBorders>
              <w:top w:val="nil"/>
              <w:left w:val="single" w:color="auto" w:sz="4" w:space="0"/>
              <w:bottom w:val="single" w:color="000000" w:sz="4" w:space="0"/>
              <w:right w:val="single" w:color="auto" w:sz="4" w:space="0"/>
            </w:tcBorders>
            <w:shd w:val="clear" w:color="auto" w:fill="auto"/>
            <w:textDirection w:val="tbRlV"/>
            <w:vAlign w:val="center"/>
          </w:tcPr>
          <w:p>
            <w:pPr>
              <w:widowControl/>
              <w:ind w:left="0" w:firstLine="0" w:firstLineChars="0"/>
              <w:jc w:val="center"/>
              <w:rPr>
                <w:rFonts w:cs="宋体" w:asciiTheme="minorEastAsia" w:hAnsiTheme="minorEastAsia"/>
                <w:kern w:val="0"/>
                <w:sz w:val="24"/>
                <w:szCs w:val="24"/>
              </w:rPr>
            </w:pPr>
            <w:r>
              <w:rPr>
                <w:rFonts w:hint="eastAsia" w:cs="宋体" w:asciiTheme="minorEastAsia" w:hAnsiTheme="minorEastAsia"/>
                <w:kern w:val="0"/>
                <w:sz w:val="24"/>
                <w:szCs w:val="24"/>
              </w:rPr>
              <w:t>六  中药管理</w:t>
            </w:r>
          </w:p>
        </w:tc>
        <w:tc>
          <w:tcPr>
            <w:tcW w:w="2010"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(一）中药与中药创新发展</w:t>
            </w:r>
          </w:p>
        </w:tc>
        <w:tc>
          <w:tcPr>
            <w:tcW w:w="2835"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1.中药的分类</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中药材、中药饮片、中成药</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2.中医药立法</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（1）符合中医药特点的管理制度和发展方针</w:t>
            </w:r>
          </w:p>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（2）《中医药法》对中药保护、发展和中医药传承的规定</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3.中药创新体系建设</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中医药创新发展规划纲要的主要内容</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（二）中药材管理</w:t>
            </w: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1.中药材的生产、经营和使用规定</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（1）中药材种植养殖管理</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（2）中药材产地初加工管理</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（3）中药材自种、自釆、自用的管理要求</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2.中药材生产质量管理 规范</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GAP的基本要求和实施</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3.专业市场管理</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（1）进入中药材专业市场经营中药材者应具备的条件</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（2）中药材专业市场管理的措施</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4.进口药材规定</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（1）进口药材的申请与审批</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（2）进口药材批件</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5.野生药材资源保护</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（1）国家重点保护野生药材物种的分级</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（2）国家重点保护野生药材釆猎管理要求 </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（3）国家重点保护野生药材的出口管理</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（4）国家重点保护的野生药材名录</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(三）中药饮片管理</w:t>
            </w: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1.生产、经营管理</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（1）中药饮片生产经营行为监管</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（2）毒性中药饮片定点生产和经营管理的规定</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2.医疗机构中药饮片的管理</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中药饮片管理要求</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restart"/>
            <w:tcBorders>
              <w:top w:val="nil"/>
              <w:left w:val="single" w:color="auto" w:sz="4" w:space="0"/>
              <w:right w:val="single" w:color="auto" w:sz="4" w:space="0"/>
            </w:tcBorders>
            <w:shd w:val="clear" w:color="auto" w:fill="auto"/>
            <w:vAlign w:val="center"/>
          </w:tcPr>
          <w:p>
            <w:pPr>
              <w:ind w:left="0" w:firstLine="0" w:firstLineChars="0"/>
              <w:jc w:val="left"/>
              <w:rPr>
                <w:rFonts w:hint="eastAsia" w:cs="宋体" w:asciiTheme="minorEastAsia" w:hAnsiTheme="minorEastAsia"/>
                <w:kern w:val="0"/>
                <w:sz w:val="24"/>
                <w:szCs w:val="24"/>
              </w:rPr>
            </w:pPr>
            <w:r>
              <w:rPr>
                <w:rFonts w:hint="eastAsia" w:cs="宋体" w:asciiTheme="minorEastAsia" w:hAnsiTheme="minorEastAsia"/>
                <w:kern w:val="0"/>
                <w:sz w:val="24"/>
                <w:szCs w:val="24"/>
              </w:rPr>
              <w:t>(四）中成药与医疗机构中药制剂管理</w:t>
            </w:r>
          </w:p>
        </w:tc>
        <w:tc>
          <w:tcPr>
            <w:tcW w:w="2835" w:type="dxa"/>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hint="eastAsia" w:cs="宋体" w:asciiTheme="minorEastAsia" w:hAnsiTheme="minorEastAsia"/>
                <w:kern w:val="0"/>
                <w:sz w:val="24"/>
                <w:szCs w:val="24"/>
              </w:rPr>
            </w:pPr>
            <w:r>
              <w:rPr>
                <w:rFonts w:hint="eastAsia" w:cs="宋体" w:asciiTheme="minorEastAsia" w:hAnsiTheme="minorEastAsia"/>
                <w:kern w:val="0"/>
                <w:sz w:val="24"/>
                <w:szCs w:val="24"/>
              </w:rPr>
              <w:t>1.中成药通用名称命名</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hint="eastAsia" w:cs="宋体" w:asciiTheme="minorEastAsia" w:hAnsiTheme="minorEastAsia"/>
                <w:kern w:val="0"/>
                <w:sz w:val="24"/>
                <w:szCs w:val="24"/>
              </w:rPr>
            </w:pPr>
            <w:r>
              <w:rPr>
                <w:rFonts w:hint="eastAsia" w:cs="宋体" w:asciiTheme="minorEastAsia" w:hAnsiTheme="minorEastAsia"/>
                <w:kern w:val="0"/>
                <w:sz w:val="24"/>
                <w:szCs w:val="24"/>
              </w:rPr>
              <w:t>（1）中成药通用名称命名基本原则</w:t>
            </w:r>
          </w:p>
          <w:p>
            <w:pPr>
              <w:widowControl/>
              <w:ind w:left="0" w:firstLine="0" w:firstLineChars="0"/>
              <w:jc w:val="left"/>
              <w:rPr>
                <w:rFonts w:hint="eastAsia" w:cs="宋体" w:asciiTheme="minorEastAsia" w:hAnsiTheme="minorEastAsia"/>
                <w:kern w:val="0"/>
                <w:sz w:val="24"/>
                <w:szCs w:val="24"/>
              </w:rPr>
            </w:pPr>
            <w:r>
              <w:rPr>
                <w:rFonts w:hint="eastAsia" w:cs="宋体" w:asciiTheme="minorEastAsia" w:hAnsiTheme="minorEastAsia"/>
                <w:kern w:val="0"/>
                <w:sz w:val="24"/>
                <w:szCs w:val="24"/>
              </w:rPr>
              <w:t>（2）已上市中成药通用名称命名规范</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left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2.中药品种保护</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（1）中药品种保护的目的和意义</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left w:val="single" w:color="auto"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（2）《中药品种保护条例》的适用范围</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left w:val="single" w:color="auto"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（3）中药保护品种的范围和等级划分</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（4）中药保护品种的保护措施</w:t>
            </w:r>
          </w:p>
        </w:tc>
      </w:tr>
      <w:tr>
        <w:tblPrEx>
          <w:tblLayout w:type="fixed"/>
          <w:tblCellMar>
            <w:top w:w="0" w:type="dxa"/>
            <w:left w:w="108" w:type="dxa"/>
            <w:bottom w:w="0" w:type="dxa"/>
            <w:right w:w="108" w:type="dxa"/>
          </w:tblCellMar>
        </w:tblPrEx>
        <w:trPr>
          <w:trHeight w:val="270" w:hRule="atLeast"/>
          <w:jc w:val="center"/>
        </w:trPr>
        <w:tc>
          <w:tcPr>
            <w:tcW w:w="980" w:type="dxa"/>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3.医疗机构中药制剂管理</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（1）中药制剂配制和使用要求</w:t>
            </w:r>
          </w:p>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（2）医疗机构中药制剂委托生产要求</w:t>
            </w:r>
          </w:p>
        </w:tc>
      </w:tr>
      <w:tr>
        <w:tblPrEx>
          <w:tblLayout w:type="fixed"/>
          <w:tblCellMar>
            <w:top w:w="0" w:type="dxa"/>
            <w:left w:w="108" w:type="dxa"/>
            <w:bottom w:w="0" w:type="dxa"/>
            <w:right w:w="108" w:type="dxa"/>
          </w:tblCellMar>
        </w:tblPrEx>
        <w:trPr>
          <w:trHeight w:val="540" w:hRule="atLeast"/>
          <w:jc w:val="center"/>
        </w:trPr>
        <w:tc>
          <w:tcPr>
            <w:tcW w:w="980" w:type="dxa"/>
            <w:vMerge w:val="restart"/>
            <w:tcBorders>
              <w:top w:val="nil"/>
              <w:left w:val="single" w:color="auto" w:sz="4" w:space="0"/>
              <w:bottom w:val="single" w:color="000000" w:sz="4" w:space="0"/>
              <w:right w:val="single" w:color="auto" w:sz="4" w:space="0"/>
            </w:tcBorders>
            <w:shd w:val="clear" w:color="auto" w:fill="auto"/>
            <w:textDirection w:val="tbRlV"/>
            <w:vAlign w:val="center"/>
          </w:tcPr>
          <w:p>
            <w:pPr>
              <w:widowControl/>
              <w:ind w:left="0" w:firstLine="0" w:firstLineChars="0"/>
              <w:jc w:val="center"/>
              <w:rPr>
                <w:rFonts w:cs="宋体" w:asciiTheme="minorEastAsia" w:hAnsiTheme="minorEastAsia"/>
                <w:kern w:val="0"/>
                <w:sz w:val="24"/>
                <w:szCs w:val="24"/>
              </w:rPr>
            </w:pPr>
            <w:r>
              <w:rPr>
                <w:rFonts w:hint="eastAsia" w:cs="宋体" w:asciiTheme="minorEastAsia" w:hAnsiTheme="minorEastAsia"/>
                <w:kern w:val="0"/>
                <w:sz w:val="24"/>
                <w:szCs w:val="24"/>
              </w:rPr>
              <w:t>七  特殊管理的药品管理</w:t>
            </w:r>
          </w:p>
        </w:tc>
        <w:tc>
          <w:tcPr>
            <w:tcW w:w="2010"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(一）麻醉药品、精神药品的管理</w:t>
            </w: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1.麻醉药品、精神药品的界定和管理部门</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（1）麻醉药品和精神药品的界定和专有标志</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（2）麻醉药品和精神药品的管理部门、职责</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2.麻醉药品和精神药品目录</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我国生产和使用的麻醉药品和精神药品品种</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3.麻醉药品和精神药品生产</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（1）生产总量控制</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（2）定点生产和渠道限制</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4.麻醉药品和精神药品经营</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（1）定点经营企业必备条件</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（2）定点经营资格审批</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（3）购销和零售管理</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5.麻醉药品和精神药品使用</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（1）使用审批和印鉴卡管理</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（2）处方资格及处方管理</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（3）借用和配制规定</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6.麻醉药品和精神药品储存与运输</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（1）麻醉药品与第一类精神药品的储存</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（2）第二类精神药品的储存</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（3）运输和邮寄管理</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（4）企业间药品运输信息管理要求</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(二）医疗用毒性药品的管理</w:t>
            </w: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1.医疗用毒性药品的界定和品种</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（1）医疗用毒性药品界定和专用标志</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（2）医疗用毒性药品的品种</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2.生产、经营管理</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（1）生产、经营资格管理</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（2）毒性药品的生产管理</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（3）储存与运输要求</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3.使用管理</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（1）医疗机构、零售药店供应和调配规定</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（2）科研和教学单位所需毒性药品的调配 规定</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(三）药品类易制毒化学品管理</w:t>
            </w: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1.药品类易制毒化学品的界定与分类</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（1）药品类易制毒化学品界定</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（2）药品类易制毒化学品品种与分类</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2.药品类易制毒化学品的流通与使用管理</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药品类易制毒化学品的购销要求</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(四）含特殊药品的复方制剂管理</w:t>
            </w: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1.含麻醉药品、精神药品复方制剂的管理</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（1）含特殊药品复方制剂的品种范围</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（2）含特殊药品复方制剂的经营管理</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2.含麻黄碱类复方制剂的管理</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（1）经营行为管理</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（2）销售管理</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(五）兴奋剂的管理</w:t>
            </w: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1.兴奋剂的界定和分类</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（1）兴奋剂的界定</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（2）兴奋剂目录和分类</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2.兴奋剂销售使用管理</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（1）含兴奋剂药品标签和说明书管理</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（2）蛋白同化制剂、肽类激素的销售及使用管理</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(六）疫苗的管理</w:t>
            </w: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1.疫苗的流通管理</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（1）界定和分类</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（2）疫苗流通方式改革和采购、供应、配送要求</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（3）疫苗全程追溯制度和全程冷链储运管理制度</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2.疫苗的监督管理</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发现假劣或者质量可疑的疫苗的处理措施</w:t>
            </w:r>
          </w:p>
        </w:tc>
      </w:tr>
      <w:tr>
        <w:tblPrEx>
          <w:tblLayout w:type="fixed"/>
          <w:tblCellMar>
            <w:top w:w="0" w:type="dxa"/>
            <w:left w:w="108" w:type="dxa"/>
            <w:bottom w:w="0" w:type="dxa"/>
            <w:right w:w="108" w:type="dxa"/>
          </w:tblCellMar>
        </w:tblPrEx>
        <w:trPr>
          <w:trHeight w:val="270" w:hRule="atLeast"/>
          <w:jc w:val="center"/>
        </w:trPr>
        <w:tc>
          <w:tcPr>
            <w:tcW w:w="980" w:type="dxa"/>
            <w:vMerge w:val="restart"/>
            <w:tcBorders>
              <w:top w:val="nil"/>
              <w:left w:val="single" w:color="auto" w:sz="4" w:space="0"/>
              <w:bottom w:val="single" w:color="000000" w:sz="4" w:space="0"/>
              <w:right w:val="single" w:color="auto" w:sz="4" w:space="0"/>
            </w:tcBorders>
            <w:shd w:val="clear" w:color="auto" w:fill="auto"/>
            <w:textDirection w:val="tbRlV"/>
            <w:vAlign w:val="center"/>
          </w:tcPr>
          <w:p>
            <w:pPr>
              <w:widowControl/>
              <w:ind w:left="0" w:firstLine="0" w:firstLineChars="0"/>
              <w:jc w:val="center"/>
              <w:rPr>
                <w:rFonts w:cs="宋体" w:asciiTheme="minorEastAsia" w:hAnsiTheme="minorEastAsia"/>
                <w:kern w:val="0"/>
                <w:sz w:val="24"/>
                <w:szCs w:val="24"/>
              </w:rPr>
            </w:pPr>
            <w:r>
              <w:rPr>
                <w:rFonts w:hint="eastAsia" w:cs="宋体" w:asciiTheme="minorEastAsia" w:hAnsiTheme="minorEastAsia"/>
                <w:kern w:val="0"/>
                <w:sz w:val="24"/>
                <w:szCs w:val="24"/>
              </w:rPr>
              <w:t>八  药品标准与药品质量监督检验</w:t>
            </w:r>
          </w:p>
        </w:tc>
        <w:tc>
          <w:tcPr>
            <w:tcW w:w="2010"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(一）药品标准管理</w:t>
            </w: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药品标准与国家药品标准</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（1）药品标准分类和效力</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（2）国家药品标准界定、类别</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（3）药品标准的制定原则</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(二）药品说明书和标签管理</w:t>
            </w: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1.药品说明书和标签基本要求</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（1）药品说明书和标签的界定和作用</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（2）药品说明书、标签印制和文字表述要求</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（3）药品名称和注册商标的标注和使用要求</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（4）外用药品的标识</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2.药品说明书管理规定</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（1）说明书的编写、修改要求</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（2）药品说明书的编写要点</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（3）药品说明书格式和书写要求的基本内容</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3.药品标签管理规定</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（1）药品标签的分类和标示的内容</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（2）同品种药品标签的规定</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（3）药品标签上药品有效期的规定</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（三）药品质量监督检验和药品质量公告</w:t>
            </w: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1.药品质量监督检验和检验机构</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（1）药品质量监督检验的界定与性质</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（2）药品质量监督检验机构</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2.药品质量监督检验的类型</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抽查检验、注册检验、指定检验和复验</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3.药品质量公告</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（1）药品质量公告界定与作用</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（2）发布权限和发布内容</w:t>
            </w:r>
          </w:p>
        </w:tc>
      </w:tr>
      <w:tr>
        <w:tblPrEx>
          <w:tblLayout w:type="fixed"/>
          <w:tblCellMar>
            <w:top w:w="0" w:type="dxa"/>
            <w:left w:w="108" w:type="dxa"/>
            <w:bottom w:w="0" w:type="dxa"/>
            <w:right w:w="108" w:type="dxa"/>
          </w:tblCellMar>
        </w:tblPrEx>
        <w:trPr>
          <w:trHeight w:val="270" w:hRule="atLeast"/>
          <w:jc w:val="center"/>
        </w:trPr>
        <w:tc>
          <w:tcPr>
            <w:tcW w:w="980" w:type="dxa"/>
            <w:vMerge w:val="restart"/>
            <w:tcBorders>
              <w:top w:val="nil"/>
              <w:left w:val="single" w:color="auto" w:sz="4" w:space="0"/>
              <w:bottom w:val="single" w:color="000000" w:sz="4" w:space="0"/>
              <w:right w:val="single" w:color="auto" w:sz="4" w:space="0"/>
            </w:tcBorders>
            <w:shd w:val="clear" w:color="auto" w:fill="auto"/>
            <w:textDirection w:val="tbRlV"/>
            <w:vAlign w:val="center"/>
          </w:tcPr>
          <w:p>
            <w:pPr>
              <w:widowControl/>
              <w:ind w:left="0" w:firstLine="0" w:firstLineChars="0"/>
              <w:jc w:val="center"/>
              <w:rPr>
                <w:rFonts w:cs="宋体" w:asciiTheme="minorEastAsia" w:hAnsiTheme="minorEastAsia"/>
                <w:kern w:val="0"/>
                <w:sz w:val="24"/>
                <w:szCs w:val="24"/>
              </w:rPr>
            </w:pPr>
            <w:r>
              <w:rPr>
                <w:rFonts w:hint="eastAsia" w:cs="宋体" w:asciiTheme="minorEastAsia" w:hAnsiTheme="minorEastAsia"/>
                <w:kern w:val="0"/>
                <w:sz w:val="24"/>
                <w:szCs w:val="24"/>
              </w:rPr>
              <w:t>九  药品广告管理与消费者权益保护</w:t>
            </w:r>
          </w:p>
        </w:tc>
        <w:tc>
          <w:tcPr>
            <w:tcW w:w="2010"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(一）药品广告管理</w:t>
            </w: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1.药品广告的审批</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（1）药品广告的界定</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（2）药品广告的申请、审查与发布</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2.药品广告的内容</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药品广告内容的要求</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3.药品广告的检查</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药品广告检查内容和方式</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4.法律责任</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违反药品广告的法律责任</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（二）反不正当竞争法</w:t>
            </w: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不正当竞争行为</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（1）反不正当竞争的界定</w:t>
            </w:r>
          </w:p>
        </w:tc>
      </w:tr>
      <w:tr>
        <w:tblPrEx>
          <w:tblLayout w:type="fixed"/>
          <w:tblCellMar>
            <w:top w:w="0" w:type="dxa"/>
            <w:left w:w="108" w:type="dxa"/>
            <w:bottom w:w="0" w:type="dxa"/>
            <w:right w:w="108" w:type="dxa"/>
          </w:tblCellMar>
        </w:tblPrEx>
        <w:trPr>
          <w:trHeight w:val="108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hint="eastAsia" w:cs="宋体" w:asciiTheme="minorEastAsia" w:hAnsiTheme="minorEastAsia"/>
                <w:kern w:val="0"/>
                <w:sz w:val="24"/>
                <w:szCs w:val="24"/>
              </w:rPr>
            </w:pPr>
            <w:r>
              <w:rPr>
                <w:rFonts w:hint="eastAsia" w:cs="宋体" w:asciiTheme="minorEastAsia" w:hAnsiTheme="minorEastAsia"/>
                <w:kern w:val="0"/>
                <w:sz w:val="24"/>
                <w:szCs w:val="24"/>
              </w:rPr>
              <w:t>（2）混淆行为、商业贿赂行为、虚假宣传和虚假交易行为、侵犯商业秘密、不正当有奖销售、诋毁商誉行为、互联网不正当竞争行为</w:t>
            </w:r>
          </w:p>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（3）不正当竞争行为的法律责任</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（三）消费者权益保护</w:t>
            </w:r>
          </w:p>
        </w:tc>
        <w:tc>
          <w:tcPr>
            <w:tcW w:w="2835"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1.法律适用</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消费者的界定和消费者权益保护法的适用范围</w:t>
            </w:r>
          </w:p>
        </w:tc>
      </w:tr>
      <w:tr>
        <w:tblPrEx>
          <w:tblLayout w:type="fixed"/>
          <w:tblCellMar>
            <w:top w:w="0" w:type="dxa"/>
            <w:left w:w="108" w:type="dxa"/>
            <w:bottom w:w="0" w:type="dxa"/>
            <w:right w:w="108" w:type="dxa"/>
          </w:tblCellMar>
        </w:tblPrEx>
        <w:trPr>
          <w:trHeight w:val="81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2.消费者的权益</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安全保障权、真情知悉权、自主选择权、公平交易权、获取赔偿权、结社权、知识获取权、受尊重权、监督批评权</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3.经营者的义务</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经营者应履行的义务</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4.消费者权益的保护</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消费者权益保护的措施</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5.争议的解决</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（1）争议解决的途径 </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（2）争议解决的特别规则</w:t>
            </w:r>
          </w:p>
        </w:tc>
      </w:tr>
      <w:tr>
        <w:tblPrEx>
          <w:tblLayout w:type="fixed"/>
          <w:tblCellMar>
            <w:top w:w="0" w:type="dxa"/>
            <w:left w:w="108" w:type="dxa"/>
            <w:bottom w:w="0" w:type="dxa"/>
            <w:right w:w="108" w:type="dxa"/>
          </w:tblCellMar>
        </w:tblPrEx>
        <w:trPr>
          <w:trHeight w:val="270" w:hRule="atLeast"/>
          <w:jc w:val="center"/>
        </w:trPr>
        <w:tc>
          <w:tcPr>
            <w:tcW w:w="980" w:type="dxa"/>
            <w:vMerge w:val="restart"/>
            <w:tcBorders>
              <w:top w:val="nil"/>
              <w:left w:val="single" w:color="auto" w:sz="4" w:space="0"/>
              <w:bottom w:val="single" w:color="000000" w:sz="4" w:space="0"/>
              <w:right w:val="single" w:color="auto" w:sz="4" w:space="0"/>
            </w:tcBorders>
            <w:shd w:val="clear" w:color="auto" w:fill="auto"/>
            <w:textDirection w:val="tbRlV"/>
            <w:vAlign w:val="center"/>
          </w:tcPr>
          <w:p>
            <w:pPr>
              <w:widowControl/>
              <w:ind w:left="0" w:firstLine="0" w:firstLineChars="0"/>
              <w:jc w:val="center"/>
              <w:rPr>
                <w:rFonts w:cs="宋体" w:asciiTheme="minorEastAsia" w:hAnsiTheme="minorEastAsia"/>
                <w:kern w:val="0"/>
                <w:sz w:val="24"/>
                <w:szCs w:val="24"/>
              </w:rPr>
            </w:pPr>
            <w:r>
              <w:rPr>
                <w:rFonts w:hint="eastAsia" w:cs="宋体" w:asciiTheme="minorEastAsia" w:hAnsiTheme="minorEastAsia"/>
                <w:kern w:val="0"/>
                <w:sz w:val="24"/>
                <w:szCs w:val="24"/>
              </w:rPr>
              <w:t>十  药品安全法律责任</w:t>
            </w:r>
          </w:p>
        </w:tc>
        <w:tc>
          <w:tcPr>
            <w:tcW w:w="2010"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(一）药品安全法律责任与特征</w:t>
            </w: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药品安全法律责任界定和种类</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（1）药品安全法律责任的界定 </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（2）药品安全法律责任的种类</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（二）生产、销售假药、劣药的法律责任</w:t>
            </w: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1.生产、销售假药的法律责任</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（1）假药的认定</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（2）生产、销售假药的行政责任 </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（3）生产、销售假药的刑事责任</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2.生产、销售劣药的法律责任</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（1）劣药的认定</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（2）生产、销售劣药的行政责任 </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（3）生产、销售劣药的刑事责任</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（三）违反药品监督管理规定的法律责任</w:t>
            </w: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1.无证生产、经营相关的法律责任</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（1）无证生产、经营药品的法律责任</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（2）从无证生产、经营企业购入药品的法律责任</w:t>
            </w:r>
          </w:p>
        </w:tc>
      </w:tr>
      <w:tr>
        <w:tblPrEx>
          <w:tblLayout w:type="fixed"/>
          <w:tblCellMar>
            <w:top w:w="0" w:type="dxa"/>
            <w:left w:w="108" w:type="dxa"/>
            <w:bottom w:w="0" w:type="dxa"/>
            <w:right w:w="108" w:type="dxa"/>
          </w:tblCellMar>
        </w:tblPrEx>
        <w:trPr>
          <w:trHeight w:val="81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2.违反药品质量管理规范的法律责任</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未按照规定实施《药品生产质量管理规范》、《药品经营质量管理规范》的法律责任</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3.许可证、批准证明文件相关的法律责任</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（1）伪造、变造、买卖、出租、出借许可证或者药品批准证明文件的法律责任</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（2）骗取许可证或批准证明文件的法律责任</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4.药品商业贿赂行为的法律责任</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（1）药品购销活动中暗中给予、收受回扣或者其他利益的法律责任</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（2）药品购销活动中收受财物或者其他利益的法律责任</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5.违反药品不良反应报告和监测规定的法律责任</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药品生产、经营和使用单位违反药品不良反应报告和监测规定的法律责任</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6.违反药品召回管理规定的法律责任</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药品生产、经营和使用单位不履行与召回相关义务的法律责任</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7.其他违反药品监督管理规定行为的法律责任</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（1）违反进口药品登记备案管理制度的法律责任</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（2）医疗机构向市场销售制剂的法律责任</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（3）药品经营违反购销记录要求、药品销售行为规定的法律责任</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（4）违反药品标识管理规定的法律责任</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(四）违反特殊管理的药品管理规定的法律责任</w:t>
            </w: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1.违反麻醉药品和精神药品管理规定的法律责任</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（1）定点生产企业的法律责任 </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（2）经营企业的法律责任 </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（3）医疗机构的法律责任</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（4）执业医师的法律责任</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（5）处方调配人、核对人的法律责任</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（6）药品监管部门和卫生主管部门的法律责任</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2.违反药品类易制毒化学品管理规定的法律责任</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（1）走私、非法买卖麻黄碱类复方制剂等行为的法律责任 </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（2）违反药品类易制毒化学品管理规定的法律责任</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3.违反毒性药品管理规定的法律责任</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擅自生产、收购、经营毒性药品的法律责任</w:t>
            </w:r>
          </w:p>
        </w:tc>
      </w:tr>
      <w:tr>
        <w:tblPrEx>
          <w:tblLayout w:type="fixed"/>
          <w:tblCellMar>
            <w:top w:w="0" w:type="dxa"/>
            <w:left w:w="108" w:type="dxa"/>
            <w:bottom w:w="0" w:type="dxa"/>
            <w:right w:w="108" w:type="dxa"/>
          </w:tblCellMar>
        </w:tblPrEx>
        <w:trPr>
          <w:trHeight w:val="1728" w:hRule="atLeast"/>
          <w:jc w:val="center"/>
        </w:trPr>
        <w:tc>
          <w:tcPr>
            <w:tcW w:w="980" w:type="dxa"/>
            <w:vMerge w:val="restart"/>
            <w:tcBorders>
              <w:top w:val="nil"/>
              <w:left w:val="single" w:color="auto"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restart"/>
            <w:tcBorders>
              <w:top w:val="nil"/>
              <w:left w:val="single" w:color="auto"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（五）违反中医药法相关规定的法律责任</w:t>
            </w:r>
          </w:p>
        </w:tc>
        <w:tc>
          <w:tcPr>
            <w:tcW w:w="2835"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1.违反举办中医诊所、炮制中药饮片、委托配制中药制剂备案管理规定的法律责任</w:t>
            </w:r>
          </w:p>
        </w:tc>
        <w:tc>
          <w:tcPr>
            <w:tcW w:w="4004" w:type="dxa"/>
            <w:tcBorders>
              <w:top w:val="nil"/>
              <w:left w:val="nil"/>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（1）应备案而未备案，或者备案时提供虚假材料的法律责任</w:t>
            </w:r>
          </w:p>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（2）应用传统工艺配制中药制剂未依照规定备案或未按照备案材料载明的要求配制中药制剂的处罚</w:t>
            </w:r>
          </w:p>
        </w:tc>
      </w:tr>
      <w:tr>
        <w:tblPrEx>
          <w:tblLayout w:type="fixed"/>
          <w:tblCellMar>
            <w:top w:w="0" w:type="dxa"/>
            <w:left w:w="108" w:type="dxa"/>
            <w:bottom w:w="0" w:type="dxa"/>
            <w:right w:w="108" w:type="dxa"/>
          </w:tblCellMar>
        </w:tblPrEx>
        <w:trPr>
          <w:trHeight w:val="50" w:hRule="atLeast"/>
          <w:jc w:val="center"/>
        </w:trPr>
        <w:tc>
          <w:tcPr>
            <w:tcW w:w="980" w:type="dxa"/>
            <w:vMerge w:val="continue"/>
            <w:tcBorders>
              <w:left w:val="single" w:color="auto"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left w:val="single" w:color="auto"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restart"/>
            <w:tcBorders>
              <w:top w:val="nil"/>
              <w:left w:val="nil"/>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2.中药材种植过程中使用剧毒、高毒农药的法律责任</w:t>
            </w:r>
          </w:p>
        </w:tc>
        <w:tc>
          <w:tcPr>
            <w:tcW w:w="4004" w:type="dxa"/>
            <w:tcBorders>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p>
        </w:tc>
      </w:tr>
      <w:tr>
        <w:tblPrEx>
          <w:tblLayout w:type="fixed"/>
          <w:tblCellMar>
            <w:top w:w="0" w:type="dxa"/>
            <w:left w:w="108" w:type="dxa"/>
            <w:bottom w:w="0" w:type="dxa"/>
            <w:right w:w="108" w:type="dxa"/>
          </w:tblCellMar>
        </w:tblPrEx>
        <w:trPr>
          <w:trHeight w:val="225" w:hRule="atLeast"/>
          <w:jc w:val="center"/>
        </w:trPr>
        <w:tc>
          <w:tcPr>
            <w:tcW w:w="980" w:type="dxa"/>
            <w:vMerge w:val="continue"/>
            <w:tcBorders>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p>
        </w:tc>
        <w:tc>
          <w:tcPr>
            <w:tcW w:w="4004" w:type="dxa"/>
            <w:tcBorders>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违法使用剧毒、高毒农药的法律责任</w:t>
            </w:r>
          </w:p>
        </w:tc>
      </w:tr>
      <w:tr>
        <w:tblPrEx>
          <w:tblLayout w:type="fixed"/>
          <w:tblCellMar>
            <w:top w:w="0" w:type="dxa"/>
            <w:left w:w="108" w:type="dxa"/>
            <w:bottom w:w="0" w:type="dxa"/>
            <w:right w:w="108" w:type="dxa"/>
          </w:tblCellMar>
        </w:tblPrEx>
        <w:trPr>
          <w:trHeight w:val="270" w:hRule="atLeast"/>
          <w:jc w:val="center"/>
        </w:trPr>
        <w:tc>
          <w:tcPr>
            <w:tcW w:w="980" w:type="dxa"/>
            <w:vMerge w:val="restart"/>
            <w:tcBorders>
              <w:top w:val="nil"/>
              <w:left w:val="single" w:color="auto" w:sz="4" w:space="0"/>
              <w:right w:val="single" w:color="auto" w:sz="4" w:space="0"/>
            </w:tcBorders>
            <w:shd w:val="clear" w:color="auto" w:fill="auto"/>
            <w:textDirection w:val="tbRlV"/>
            <w:vAlign w:val="center"/>
          </w:tcPr>
          <w:p>
            <w:pPr>
              <w:widowControl/>
              <w:ind w:left="0" w:firstLine="0" w:firstLineChars="0"/>
              <w:jc w:val="center"/>
              <w:rPr>
                <w:rFonts w:cs="宋体" w:asciiTheme="minorEastAsia" w:hAnsiTheme="minorEastAsia"/>
                <w:kern w:val="0"/>
                <w:sz w:val="24"/>
                <w:szCs w:val="24"/>
              </w:rPr>
            </w:pPr>
            <w:r>
              <w:rPr>
                <w:rFonts w:hint="eastAsia" w:cs="宋体" w:asciiTheme="minorEastAsia" w:hAnsiTheme="minorEastAsia"/>
                <w:kern w:val="0"/>
                <w:sz w:val="24"/>
                <w:szCs w:val="24"/>
              </w:rPr>
              <w:t>十一  医疗器械、保健食品和化妆品的管理</w:t>
            </w:r>
          </w:p>
        </w:tc>
        <w:tc>
          <w:tcPr>
            <w:tcW w:w="2010" w:type="dxa"/>
            <w:vMerge w:val="restart"/>
            <w:tcBorders>
              <w:top w:val="nil"/>
              <w:left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(一）医疗器械管理</w:t>
            </w: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1.医疗器械管理的基本要求</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（1）医疗器械的界定</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left w:val="single" w:color="auto"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left w:val="single" w:color="auto"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（2）医疗器械的分类</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left w:val="single" w:color="auto"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left w:val="single" w:color="auto"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（3）产品注册与备案管理</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left w:val="single" w:color="auto"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left w:val="single" w:color="auto"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（4）医疗器械注册证格式与备案凭证格式</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left w:val="single" w:color="auto"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left w:val="single" w:color="auto"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（5）医疗器械说明书和标签管理</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left w:val="single" w:color="auto"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left w:val="single" w:color="auto"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restart"/>
            <w:tcBorders>
              <w:top w:val="nil"/>
              <w:left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2.医疗器械经营与使用管理</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（1）医疗器械经营分类管理</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left w:val="single" w:color="auto"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left w:val="single" w:color="auto"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left w:val="single" w:color="auto"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（2）医疗器械经营许可证管理</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left w:val="single" w:color="auto"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left w:val="single" w:color="auto"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left w:val="single" w:color="auto"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（3）经营质量管理规范的基本要求</w:t>
            </w:r>
          </w:p>
        </w:tc>
      </w:tr>
      <w:tr>
        <w:tblPrEx>
          <w:tblLayout w:type="fixed"/>
          <w:tblCellMar>
            <w:top w:w="0" w:type="dxa"/>
            <w:left w:w="108" w:type="dxa"/>
            <w:bottom w:w="0" w:type="dxa"/>
            <w:right w:w="108" w:type="dxa"/>
          </w:tblCellMar>
        </w:tblPrEx>
        <w:trPr>
          <w:trHeight w:val="132" w:hRule="atLeast"/>
          <w:jc w:val="center"/>
        </w:trPr>
        <w:tc>
          <w:tcPr>
            <w:tcW w:w="980" w:type="dxa"/>
            <w:vMerge w:val="continue"/>
            <w:tcBorders>
              <w:left w:val="single" w:color="auto"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left w:val="single" w:color="auto"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left w:val="single" w:color="auto"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（4）医疗器械网络销售监督管理要求</w:t>
            </w:r>
          </w:p>
        </w:tc>
      </w:tr>
      <w:tr>
        <w:tblPrEx>
          <w:tblLayout w:type="fixed"/>
          <w:tblCellMar>
            <w:top w:w="0" w:type="dxa"/>
            <w:left w:w="108" w:type="dxa"/>
            <w:bottom w:w="0" w:type="dxa"/>
            <w:right w:w="108" w:type="dxa"/>
          </w:tblCellMar>
        </w:tblPrEx>
        <w:trPr>
          <w:trHeight w:val="131" w:hRule="atLeast"/>
          <w:jc w:val="center"/>
        </w:trPr>
        <w:tc>
          <w:tcPr>
            <w:tcW w:w="980" w:type="dxa"/>
            <w:vMerge w:val="continue"/>
            <w:tcBorders>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hint="eastAsia" w:cs="宋体" w:asciiTheme="minorEastAsia" w:hAnsiTheme="minorEastAsia"/>
                <w:kern w:val="0"/>
                <w:sz w:val="24"/>
                <w:szCs w:val="24"/>
              </w:rPr>
            </w:pPr>
            <w:r>
              <w:rPr>
                <w:rFonts w:hint="eastAsia" w:cs="宋体" w:asciiTheme="minorEastAsia" w:hAnsiTheme="minorEastAsia"/>
                <w:kern w:val="0"/>
                <w:sz w:val="24"/>
                <w:szCs w:val="24"/>
              </w:rPr>
              <w:t>（5）医疗器械使用管理</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3.医疗器械不良事件的处理与问题产品召回</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（1）医疗器械不良事件监测</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（2）医疗器械再评价和结果处理</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（3）医疗器械召回管理</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(二）保健食品、特殊医学用途配方食品和婴幼儿配方食品的管理</w:t>
            </w:r>
          </w:p>
        </w:tc>
        <w:tc>
          <w:tcPr>
            <w:tcW w:w="2835" w:type="dxa"/>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1.保健食品管理</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（1）保健食品的界定 </w:t>
            </w:r>
          </w:p>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（2）保健食品的特征</w:t>
            </w:r>
          </w:p>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（3）保健食品注册与备案管理</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980" w:type="dxa"/>
            <w:vMerge w:val="continue"/>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vAlign w:val="center"/>
          </w:tcPr>
          <w:p>
            <w:pPr>
              <w:widowControl/>
              <w:ind w:left="0" w:firstLine="0" w:firstLineChars="0"/>
              <w:jc w:val="left"/>
              <w:rPr>
                <w:rFonts w:cs="宋体" w:asciiTheme="minorEastAsia" w:hAnsiTheme="minorEastAsia"/>
                <w:kern w:val="0"/>
                <w:sz w:val="24"/>
                <w:szCs w:val="24"/>
              </w:rPr>
            </w:pPr>
          </w:p>
        </w:tc>
        <w:tc>
          <w:tcPr>
            <w:tcW w:w="2835" w:type="dxa"/>
            <w:shd w:val="clear" w:color="auto" w:fill="auto"/>
            <w:vAlign w:val="center"/>
          </w:tcPr>
          <w:p>
            <w:pPr>
              <w:widowControl/>
              <w:ind w:left="0" w:firstLine="0" w:firstLineChars="0"/>
              <w:jc w:val="left"/>
              <w:rPr>
                <w:rFonts w:cs="宋体" w:asciiTheme="minorEastAsia" w:hAnsiTheme="minorEastAsia"/>
                <w:b/>
                <w:kern w:val="0"/>
                <w:sz w:val="24"/>
                <w:szCs w:val="24"/>
              </w:rPr>
            </w:pPr>
            <w:r>
              <w:rPr>
                <w:rFonts w:hint="eastAsia" w:cs="宋体" w:asciiTheme="minorEastAsia" w:hAnsiTheme="minorEastAsia"/>
                <w:kern w:val="0"/>
                <w:sz w:val="24"/>
                <w:szCs w:val="24"/>
              </w:rPr>
              <w:t>2.特殊医学用途配方食品和婴幼儿配方食品的管理</w:t>
            </w:r>
          </w:p>
        </w:tc>
        <w:tc>
          <w:tcPr>
            <w:tcW w:w="4004" w:type="dxa"/>
            <w:shd w:val="clear" w:color="auto" w:fill="auto"/>
            <w:vAlign w:val="center"/>
          </w:tcPr>
          <w:p>
            <w:pPr>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特殊医学用途配方食品和婴幼儿配方食品的管理的基本要求</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（三）化妆品管理</w:t>
            </w: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化妆品管理的基本要求</w:t>
            </w: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（1）化妆品的界定和分类</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cs="宋体" w:asciiTheme="minorEastAsia" w:hAnsiTheme="minorEastAsia"/>
                <w:kern w:val="0"/>
                <w:sz w:val="24"/>
                <w:szCs w:val="24"/>
              </w:rPr>
            </w:pPr>
          </w:p>
        </w:tc>
        <w:tc>
          <w:tcPr>
            <w:tcW w:w="4004"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（2）化妆品生产许可证和批准文号管理</w:t>
            </w:r>
          </w:p>
        </w:tc>
      </w:tr>
    </w:tbl>
    <w:p>
      <w:pPr>
        <w:ind w:left="0" w:firstLine="0" w:firstLineChars="0"/>
        <w:rPr>
          <w:rFonts w:asciiTheme="minorEastAsia" w:hAnsiTheme="minorEastAsia"/>
          <w:sz w:val="24"/>
          <w:szCs w:val="24"/>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270" w:hanging="27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270" w:hanging="27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270" w:hanging="27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270" w:hanging="2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270" w:hanging="27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270" w:hanging="27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24112"/>
    <w:rsid w:val="00066BE1"/>
    <w:rsid w:val="00074C15"/>
    <w:rsid w:val="000C47DE"/>
    <w:rsid w:val="00121E12"/>
    <w:rsid w:val="00124112"/>
    <w:rsid w:val="00187DB4"/>
    <w:rsid w:val="00272FC6"/>
    <w:rsid w:val="002A20DB"/>
    <w:rsid w:val="002D2DBF"/>
    <w:rsid w:val="002E0AAD"/>
    <w:rsid w:val="00317069"/>
    <w:rsid w:val="003623C8"/>
    <w:rsid w:val="0037189F"/>
    <w:rsid w:val="003D693E"/>
    <w:rsid w:val="00407FA0"/>
    <w:rsid w:val="00423149"/>
    <w:rsid w:val="00437125"/>
    <w:rsid w:val="004431E0"/>
    <w:rsid w:val="004827D8"/>
    <w:rsid w:val="0050035B"/>
    <w:rsid w:val="005E2C4F"/>
    <w:rsid w:val="006C29F7"/>
    <w:rsid w:val="007368E1"/>
    <w:rsid w:val="00754884"/>
    <w:rsid w:val="00762B8E"/>
    <w:rsid w:val="007C4E06"/>
    <w:rsid w:val="007E4599"/>
    <w:rsid w:val="008163C4"/>
    <w:rsid w:val="00834B7C"/>
    <w:rsid w:val="00854336"/>
    <w:rsid w:val="00856A53"/>
    <w:rsid w:val="008907BC"/>
    <w:rsid w:val="00896E2B"/>
    <w:rsid w:val="00897BA6"/>
    <w:rsid w:val="008B56C8"/>
    <w:rsid w:val="00906247"/>
    <w:rsid w:val="00946BB6"/>
    <w:rsid w:val="00994BDF"/>
    <w:rsid w:val="009A77CF"/>
    <w:rsid w:val="009F3366"/>
    <w:rsid w:val="00A63ABC"/>
    <w:rsid w:val="00AC0E19"/>
    <w:rsid w:val="00AC1A25"/>
    <w:rsid w:val="00B07994"/>
    <w:rsid w:val="00B10095"/>
    <w:rsid w:val="00BF64C9"/>
    <w:rsid w:val="00CD7E7F"/>
    <w:rsid w:val="00D03B55"/>
    <w:rsid w:val="00D42588"/>
    <w:rsid w:val="00D51B62"/>
    <w:rsid w:val="00D63DC2"/>
    <w:rsid w:val="00D801D0"/>
    <w:rsid w:val="00D8686C"/>
    <w:rsid w:val="00DB0321"/>
    <w:rsid w:val="00DC6F40"/>
    <w:rsid w:val="00DF51E4"/>
    <w:rsid w:val="00E24664"/>
    <w:rsid w:val="00E70248"/>
    <w:rsid w:val="00EA10FB"/>
    <w:rsid w:val="00F331C5"/>
    <w:rsid w:val="00F3777E"/>
    <w:rsid w:val="00F805F8"/>
    <w:rsid w:val="00F82512"/>
    <w:rsid w:val="00FD41B5"/>
    <w:rsid w:val="00FD7949"/>
    <w:rsid w:val="50293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left="150" w:hanging="150" w:hangingChars="15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8">
    <w:name w:val="页眉 Char"/>
    <w:basedOn w:val="5"/>
    <w:link w:val="4"/>
    <w:semiHidden/>
    <w:qFormat/>
    <w:uiPriority w:val="99"/>
    <w:rPr>
      <w:sz w:val="18"/>
      <w:szCs w:val="18"/>
    </w:rPr>
  </w:style>
  <w:style w:type="character" w:customStyle="1" w:styleId="9">
    <w:name w:val="页脚 Char"/>
    <w:basedOn w:val="5"/>
    <w:link w:val="3"/>
    <w:semiHidden/>
    <w:uiPriority w:val="99"/>
    <w:rPr>
      <w:sz w:val="18"/>
      <w:szCs w:val="18"/>
    </w:rPr>
  </w:style>
  <w:style w:type="character" w:customStyle="1" w:styleId="10">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1324</Words>
  <Characters>7553</Characters>
  <Lines>62</Lines>
  <Paragraphs>17</Paragraphs>
  <TotalTime>150</TotalTime>
  <ScaleCrop>false</ScaleCrop>
  <LinksUpToDate>false</LinksUpToDate>
  <CharactersWithSpaces>8860</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2015-02-07T07:47:00Z</dcterms:created>
  <dc:creator>孟想</dc:creator>
  <cp:lastModifiedBy>DELL</cp:lastModifiedBy>
  <dcterms:modified xsi:type="dcterms:W3CDTF">2018-05-01T03:39:01Z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