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医学教育网执业中药师：《答疑周刊》201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年第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期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问题索引：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1.【问题】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散剂的考点小结。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散剂的粒度要求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3.【问题】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片剂的分类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具体解答：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1.【问题】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散剂的考点小结。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散剂的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特点：比表面积大，易分散，吸收，起效迅速，适于外用、小儿。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不宜制成散剂的药物：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易吸湿、易氧化、刺激性大、含挥发性成分多且剂量大（简记：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湿痒刺激灰大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散剂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粒度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：内服细粉，儿科、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局部用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最细粉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最细粉：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全部通过六号筛，并含能通过七号筛不少于95%的粉末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水分：不得过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9.0%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散剂用于烧伤治疗如为非无菌制剂的，应在标签上标明“非无菌制剂”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散剂的粒度要求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A.粗粉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B.中粉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C.细粉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D.最细粉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E.极细粉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1.除另有规定外，内服散剂的粉粒细度为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2.除另有规定外，儿科用散剂的粉粒细度为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3.除另有规定外，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局部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用散剂的粉粒细度为</w:t>
      </w:r>
    </w:p>
    <w:p>
      <w:pPr>
        <w:rPr>
          <w:rFonts w:hint="eastAsia" w:asciiTheme="minorEastAsia" w:hAnsiTheme="minorEastAsia" w:cstheme="minorEastAsia"/>
          <w:b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【答案】C</w:t>
      </w: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val="en-US" w:eastAsia="zh-CN"/>
        </w:rPr>
        <w:t>D、D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【解析】</w:t>
      </w:r>
      <w:r>
        <w:rPr>
          <w:rFonts w:hint="eastAsia" w:ascii="宋体" w:hAnsi="宋体"/>
          <w:szCs w:val="21"/>
        </w:rPr>
        <w:t>除另有规定外，内服散剂应为细粉；儿科用及局部用散剂应为最细粉。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片剂的分类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不属于口服片剂的有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A.咀嚼片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B.舌下片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C.分散片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D.泡腾片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E.口腔贴片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【</w:t>
      </w: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eastAsia="zh-CN"/>
        </w:rPr>
        <w:t>答案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】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BE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【解析】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EEEEEE"/>
        </w:rPr>
        <w:t>　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970780" cy="1861185"/>
            <wp:effectExtent l="0" t="0" r="1270" b="5715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kern w:val="0"/>
        <w:szCs w:val="21"/>
      </w:rPr>
      <w:t>-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114300" distR="114300">
          <wp:extent cx="1590675" cy="400050"/>
          <wp:effectExtent l="0" t="0" r="9525" b="0"/>
          <wp:docPr id="7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</w:t>
    </w:r>
    <w:r>
      <w:rPr>
        <w:rFonts w:hint="eastAsia"/>
        <w:color w:val="0000FF"/>
      </w:rPr>
      <w:t>24小时客服电话：010-82311666　免费咨询热线：4006501888</w: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9" name="WordPictureWatermark3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" descr="word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0" name="WordPictureWatermark2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2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" name="WordPictureWatermark1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7BD"/>
    <w:rsid w:val="04B8388A"/>
    <w:rsid w:val="06CF3324"/>
    <w:rsid w:val="08665180"/>
    <w:rsid w:val="0F537166"/>
    <w:rsid w:val="106643FC"/>
    <w:rsid w:val="107F6248"/>
    <w:rsid w:val="127A0EE7"/>
    <w:rsid w:val="12D5236D"/>
    <w:rsid w:val="12E36244"/>
    <w:rsid w:val="18D01A2C"/>
    <w:rsid w:val="194B5436"/>
    <w:rsid w:val="1AC84B7C"/>
    <w:rsid w:val="1B8D2B0C"/>
    <w:rsid w:val="237F1922"/>
    <w:rsid w:val="2B7D4E30"/>
    <w:rsid w:val="31DC58B6"/>
    <w:rsid w:val="33E716F4"/>
    <w:rsid w:val="38E773AB"/>
    <w:rsid w:val="39952EC1"/>
    <w:rsid w:val="3AA6700A"/>
    <w:rsid w:val="3BAF2B5C"/>
    <w:rsid w:val="3BC24F08"/>
    <w:rsid w:val="3BD53001"/>
    <w:rsid w:val="3E06014F"/>
    <w:rsid w:val="40C04B35"/>
    <w:rsid w:val="41EE20BB"/>
    <w:rsid w:val="445034F2"/>
    <w:rsid w:val="44913CFC"/>
    <w:rsid w:val="4A2329CB"/>
    <w:rsid w:val="4C3A59BE"/>
    <w:rsid w:val="4E226735"/>
    <w:rsid w:val="4E8F3395"/>
    <w:rsid w:val="50276E9F"/>
    <w:rsid w:val="5065243F"/>
    <w:rsid w:val="52FD49A0"/>
    <w:rsid w:val="57564879"/>
    <w:rsid w:val="588E349F"/>
    <w:rsid w:val="5B6A3285"/>
    <w:rsid w:val="5BDF5C27"/>
    <w:rsid w:val="627E2EE0"/>
    <w:rsid w:val="62EB2EFA"/>
    <w:rsid w:val="631242F7"/>
    <w:rsid w:val="69CE6834"/>
    <w:rsid w:val="6BCE3505"/>
    <w:rsid w:val="6C0138B9"/>
    <w:rsid w:val="75DF5C21"/>
    <w:rsid w:val="789A3DF9"/>
    <w:rsid w:val="78FB74B5"/>
    <w:rsid w:val="7ACA6704"/>
    <w:rsid w:val="7B89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360" w:lineRule="auto"/>
    </w:pPr>
    <w:rPr>
      <w:rFonts w:ascii="宋体" w:cs="Courier New"/>
      <w:szCs w:val="21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annotation reference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2018-06-05T07:36:59Z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