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2A4" w:rsidRDefault="00A05A33">
      <w:pPr>
        <w:ind w:left="361" w:hanging="361"/>
        <w:jc w:val="center"/>
        <w:rPr>
          <w:rFonts w:asciiTheme="minorEastAsia" w:hAnsiTheme="minorEastAsia"/>
          <w:b/>
          <w:sz w:val="24"/>
          <w:szCs w:val="24"/>
        </w:rPr>
      </w:pPr>
      <w:bookmarkStart w:id="0" w:name="_GoBack"/>
      <w:r>
        <w:rPr>
          <w:rFonts w:asciiTheme="minorEastAsia" w:hAnsiTheme="minorEastAsia" w:hint="eastAsia"/>
          <w:b/>
          <w:sz w:val="24"/>
          <w:szCs w:val="24"/>
        </w:rPr>
        <w:t>药事管理与法规</w:t>
      </w:r>
    </w:p>
    <w:p w:rsidR="009D02A4" w:rsidRDefault="00A05A33">
      <w:pPr>
        <w:ind w:left="0" w:firstLineChars="200" w:firstLine="480"/>
        <w:rPr>
          <w:rFonts w:asciiTheme="minorEastAsia" w:hAnsiTheme="minorEastAsia"/>
          <w:sz w:val="24"/>
          <w:szCs w:val="24"/>
        </w:rPr>
      </w:pPr>
      <w:r>
        <w:rPr>
          <w:rFonts w:asciiTheme="minorEastAsia" w:hAnsiTheme="minorEastAsia" w:hint="eastAsia"/>
          <w:sz w:val="24"/>
          <w:szCs w:val="24"/>
        </w:rPr>
        <w:t>药事管理与法规是执业药师职责和执业活动必须具备的知识与能力，考查目的重在评价、培养和指导执业药师法制意识、责任意识、自律意识、服务意识，从而确保准入人员具有合法执业能力、高尚职业道德，并能够更好地保护患者基本权利、尊重患者隐私。要求重点掌握药学实践中与合法</w:t>
      </w:r>
      <w:r>
        <w:rPr>
          <w:rFonts w:asciiTheme="minorEastAsia" w:hAnsiTheme="minorEastAsia" w:hint="eastAsia"/>
          <w:sz w:val="24"/>
          <w:szCs w:val="24"/>
        </w:rPr>
        <w:t xml:space="preserve"> </w:t>
      </w:r>
      <w:r>
        <w:rPr>
          <w:rFonts w:asciiTheme="minorEastAsia" w:hAnsiTheme="minorEastAsia" w:hint="eastAsia"/>
          <w:sz w:val="24"/>
          <w:szCs w:val="24"/>
        </w:rPr>
        <w:t>执业直接相关的法律法规规定，并能够理解国家医药卫生政策的具体要求。</w:t>
      </w:r>
    </w:p>
    <w:p w:rsidR="009D02A4" w:rsidRDefault="00A05A33">
      <w:pPr>
        <w:ind w:left="0" w:firstLineChars="200" w:firstLine="480"/>
        <w:rPr>
          <w:rFonts w:asciiTheme="minorEastAsia" w:hAnsiTheme="minorEastAsia"/>
          <w:sz w:val="24"/>
          <w:szCs w:val="24"/>
        </w:rPr>
      </w:pPr>
      <w:r>
        <w:rPr>
          <w:rFonts w:asciiTheme="minorEastAsia" w:hAnsiTheme="minorEastAsia" w:hint="eastAsia"/>
          <w:sz w:val="24"/>
          <w:szCs w:val="24"/>
        </w:rPr>
        <w:t>药事管理与法规科目的考试内容以</w:t>
      </w:r>
      <w:proofErr w:type="gramStart"/>
      <w:r>
        <w:rPr>
          <w:rFonts w:asciiTheme="minorEastAsia" w:hAnsiTheme="minorEastAsia" w:hint="eastAsia"/>
          <w:sz w:val="24"/>
          <w:szCs w:val="24"/>
        </w:rPr>
        <w:t>本考试</w:t>
      </w:r>
      <w:proofErr w:type="gramEnd"/>
      <w:r>
        <w:rPr>
          <w:rFonts w:asciiTheme="minorEastAsia" w:hAnsiTheme="minorEastAsia" w:hint="eastAsia"/>
          <w:sz w:val="24"/>
          <w:szCs w:val="24"/>
        </w:rPr>
        <w:t>大纲为准。国家新修订的或新颁布的药事管理法规，需要纳入考试内容范围的，由国家食品药品监督管理总局执业药师管理机构在当年考试的</w:t>
      </w:r>
      <w:r>
        <w:rPr>
          <w:rFonts w:asciiTheme="minorEastAsia" w:hAnsiTheme="minorEastAsia" w:hint="eastAsia"/>
          <w:sz w:val="24"/>
          <w:szCs w:val="24"/>
        </w:rPr>
        <w:t>6</w:t>
      </w:r>
      <w:r>
        <w:rPr>
          <w:rFonts w:asciiTheme="minorEastAsia" w:hAnsiTheme="minorEastAsia" w:hint="eastAsia"/>
          <w:sz w:val="24"/>
          <w:szCs w:val="24"/>
        </w:rPr>
        <w:t>个月之前予以公布。</w:t>
      </w:r>
    </w:p>
    <w:bookmarkEnd w:id="0"/>
    <w:p w:rsidR="009D02A4" w:rsidRDefault="009D02A4">
      <w:pPr>
        <w:ind w:left="0" w:firstLineChars="0" w:firstLine="0"/>
        <w:rPr>
          <w:rFonts w:asciiTheme="minorEastAsia" w:hAnsiTheme="minorEastAsia"/>
          <w:sz w:val="24"/>
          <w:szCs w:val="24"/>
        </w:rPr>
      </w:pPr>
    </w:p>
    <w:tbl>
      <w:tblPr>
        <w:tblW w:w="9829" w:type="dxa"/>
        <w:jc w:val="center"/>
        <w:tblInd w:w="95" w:type="dxa"/>
        <w:tblLayout w:type="fixed"/>
        <w:tblLook w:val="04A0"/>
      </w:tblPr>
      <w:tblGrid>
        <w:gridCol w:w="980"/>
        <w:gridCol w:w="2010"/>
        <w:gridCol w:w="2835"/>
        <w:gridCol w:w="4004"/>
      </w:tblGrid>
      <w:tr w:rsidR="009D02A4">
        <w:trPr>
          <w:trHeight w:val="270"/>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9D02A4" w:rsidRDefault="00A05A33">
            <w:pPr>
              <w:widowControl/>
              <w:ind w:left="330" w:firstLineChars="0" w:hanging="330"/>
              <w:jc w:val="center"/>
              <w:rPr>
                <w:rFonts w:asciiTheme="minorEastAsia" w:hAnsiTheme="minorEastAsia" w:cs="宋体"/>
                <w:kern w:val="0"/>
                <w:sz w:val="24"/>
                <w:szCs w:val="24"/>
              </w:rPr>
            </w:pPr>
            <w:r>
              <w:rPr>
                <w:rFonts w:asciiTheme="minorEastAsia" w:hAnsiTheme="minorEastAsia" w:cs="宋体" w:hint="eastAsia"/>
                <w:kern w:val="0"/>
                <w:sz w:val="24"/>
                <w:szCs w:val="24"/>
              </w:rPr>
              <w:t>大单元</w:t>
            </w:r>
          </w:p>
        </w:tc>
        <w:tc>
          <w:tcPr>
            <w:tcW w:w="2010" w:type="dxa"/>
            <w:tcBorders>
              <w:top w:val="single" w:sz="4" w:space="0" w:color="auto"/>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小单元</w:t>
            </w:r>
          </w:p>
        </w:tc>
        <w:tc>
          <w:tcPr>
            <w:tcW w:w="2835" w:type="dxa"/>
            <w:tcBorders>
              <w:top w:val="single" w:sz="4" w:space="0" w:color="auto"/>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细</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目</w:t>
            </w:r>
          </w:p>
        </w:tc>
        <w:tc>
          <w:tcPr>
            <w:tcW w:w="4004" w:type="dxa"/>
            <w:tcBorders>
              <w:top w:val="single" w:sz="4" w:space="0" w:color="auto"/>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center"/>
              <w:rPr>
                <w:rFonts w:asciiTheme="minorEastAsia" w:hAnsiTheme="minorEastAsia" w:cs="宋体"/>
                <w:kern w:val="0"/>
                <w:sz w:val="24"/>
                <w:szCs w:val="24"/>
              </w:rPr>
            </w:pPr>
            <w:r>
              <w:rPr>
                <w:rFonts w:asciiTheme="minorEastAsia" w:hAnsiTheme="minorEastAsia" w:cs="宋体" w:hint="eastAsia"/>
                <w:kern w:val="0"/>
                <w:sz w:val="24"/>
                <w:szCs w:val="24"/>
              </w:rPr>
              <w:t>要</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点</w:t>
            </w:r>
          </w:p>
        </w:tc>
      </w:tr>
      <w:tr w:rsidR="00C75246" w:rsidTr="00F76D8F">
        <w:trPr>
          <w:trHeight w:val="270"/>
          <w:jc w:val="center"/>
        </w:trPr>
        <w:tc>
          <w:tcPr>
            <w:tcW w:w="980" w:type="dxa"/>
            <w:vMerge w:val="restart"/>
            <w:tcBorders>
              <w:top w:val="nil"/>
              <w:left w:val="single" w:sz="4" w:space="0" w:color="auto"/>
              <w:right w:val="single" w:sz="4" w:space="0" w:color="auto"/>
            </w:tcBorders>
            <w:shd w:val="clear" w:color="auto" w:fill="auto"/>
            <w:textDirection w:val="tbRlV"/>
            <w:vAlign w:val="center"/>
          </w:tcPr>
          <w:p w:rsidR="00C75246" w:rsidRDefault="00C75246">
            <w:pPr>
              <w:widowControl/>
              <w:ind w:left="0" w:firstLineChars="0" w:firstLine="0"/>
              <w:jc w:val="center"/>
              <w:rPr>
                <w:rFonts w:asciiTheme="minorEastAsia" w:hAnsiTheme="minorEastAsia" w:cs="宋体"/>
                <w:kern w:val="0"/>
                <w:sz w:val="24"/>
                <w:szCs w:val="24"/>
              </w:rPr>
            </w:pPr>
            <w:proofErr w:type="gramStart"/>
            <w:r>
              <w:rPr>
                <w:rFonts w:asciiTheme="minorEastAsia" w:hAnsiTheme="minorEastAsia" w:cs="宋体" w:hint="eastAsia"/>
                <w:kern w:val="0"/>
                <w:sz w:val="24"/>
                <w:szCs w:val="24"/>
              </w:rPr>
              <w:t>一</w:t>
            </w:r>
            <w:proofErr w:type="gramEnd"/>
            <w:r>
              <w:rPr>
                <w:rFonts w:asciiTheme="minorEastAsia" w:hAnsiTheme="minorEastAsia" w:cs="宋体" w:hint="eastAsia"/>
                <w:kern w:val="0"/>
                <w:sz w:val="24"/>
                <w:szCs w:val="24"/>
              </w:rPr>
              <w:t xml:space="preserve"> 执业药师与药品安全</w:t>
            </w:r>
          </w:p>
        </w:tc>
        <w:tc>
          <w:tcPr>
            <w:tcW w:w="2010" w:type="dxa"/>
            <w:vMerge w:val="restart"/>
            <w:tcBorders>
              <w:top w:val="nil"/>
              <w:left w:val="single" w:sz="4" w:space="0" w:color="auto"/>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(一）执业药师管理</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1.执业药师资格制度</w:t>
            </w:r>
          </w:p>
        </w:tc>
        <w:tc>
          <w:tcPr>
            <w:tcW w:w="4004" w:type="dxa"/>
            <w:tcBorders>
              <w:top w:val="nil"/>
              <w:left w:val="nil"/>
              <w:bottom w:val="single" w:sz="4" w:space="0" w:color="auto"/>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(1）执业药师制度的内涵 </w:t>
            </w:r>
          </w:p>
        </w:tc>
      </w:tr>
      <w:tr w:rsidR="00C75246" w:rsidTr="00F76D8F">
        <w:trPr>
          <w:trHeight w:val="270"/>
          <w:jc w:val="center"/>
        </w:trPr>
        <w:tc>
          <w:tcPr>
            <w:tcW w:w="980" w:type="dxa"/>
            <w:vMerge/>
            <w:tcBorders>
              <w:left w:val="single" w:sz="4" w:space="0" w:color="auto"/>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(2）执业药师管理部门</w:t>
            </w:r>
          </w:p>
        </w:tc>
      </w:tr>
      <w:tr w:rsidR="00C75246" w:rsidTr="00F76D8F">
        <w:trPr>
          <w:trHeight w:val="270"/>
          <w:jc w:val="center"/>
        </w:trPr>
        <w:tc>
          <w:tcPr>
            <w:tcW w:w="980" w:type="dxa"/>
            <w:vMerge/>
            <w:tcBorders>
              <w:left w:val="single" w:sz="4" w:space="0" w:color="auto"/>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2.执业药师资格考试与注册管理</w:t>
            </w:r>
          </w:p>
        </w:tc>
        <w:tc>
          <w:tcPr>
            <w:tcW w:w="4004" w:type="dxa"/>
            <w:tcBorders>
              <w:top w:val="nil"/>
              <w:left w:val="nil"/>
              <w:bottom w:val="single" w:sz="4" w:space="0" w:color="auto"/>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(1）执业药师资格考试 </w:t>
            </w:r>
          </w:p>
        </w:tc>
      </w:tr>
      <w:tr w:rsidR="00C75246" w:rsidTr="00F76D8F">
        <w:trPr>
          <w:trHeight w:val="270"/>
          <w:jc w:val="center"/>
        </w:trPr>
        <w:tc>
          <w:tcPr>
            <w:tcW w:w="980" w:type="dxa"/>
            <w:vMerge/>
            <w:tcBorders>
              <w:left w:val="single" w:sz="4" w:space="0" w:color="auto"/>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(2）执业药师注册管理</w:t>
            </w:r>
          </w:p>
        </w:tc>
      </w:tr>
      <w:tr w:rsidR="00C75246" w:rsidTr="00F76D8F">
        <w:trPr>
          <w:trHeight w:val="270"/>
          <w:jc w:val="center"/>
        </w:trPr>
        <w:tc>
          <w:tcPr>
            <w:tcW w:w="980" w:type="dxa"/>
            <w:vMerge/>
            <w:tcBorders>
              <w:left w:val="single" w:sz="4" w:space="0" w:color="auto"/>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835" w:type="dxa"/>
            <w:tcBorders>
              <w:top w:val="nil"/>
              <w:left w:val="nil"/>
              <w:bottom w:val="single" w:sz="4" w:space="0" w:color="auto"/>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3.执业药师职责</w:t>
            </w:r>
          </w:p>
        </w:tc>
        <w:tc>
          <w:tcPr>
            <w:tcW w:w="4004" w:type="dxa"/>
            <w:tcBorders>
              <w:top w:val="nil"/>
              <w:left w:val="nil"/>
              <w:bottom w:val="single" w:sz="4" w:space="0" w:color="auto"/>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执业药师主要职责</w:t>
            </w:r>
          </w:p>
        </w:tc>
      </w:tr>
      <w:tr w:rsidR="00C75246" w:rsidTr="00F76D8F">
        <w:trPr>
          <w:trHeight w:val="270"/>
          <w:jc w:val="center"/>
        </w:trPr>
        <w:tc>
          <w:tcPr>
            <w:tcW w:w="980" w:type="dxa"/>
            <w:vMerge/>
            <w:tcBorders>
              <w:left w:val="single" w:sz="4" w:space="0" w:color="auto"/>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4.执业药师继续教育</w:t>
            </w:r>
          </w:p>
        </w:tc>
        <w:tc>
          <w:tcPr>
            <w:tcW w:w="4004" w:type="dxa"/>
            <w:tcBorders>
              <w:top w:val="nil"/>
              <w:left w:val="nil"/>
              <w:bottom w:val="single" w:sz="4" w:space="0" w:color="auto"/>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（1）继续教育的内容和形式要求 </w:t>
            </w:r>
          </w:p>
        </w:tc>
      </w:tr>
      <w:tr w:rsidR="00C75246" w:rsidTr="00F76D8F">
        <w:trPr>
          <w:trHeight w:val="270"/>
          <w:jc w:val="center"/>
        </w:trPr>
        <w:tc>
          <w:tcPr>
            <w:tcW w:w="980" w:type="dxa"/>
            <w:vMerge/>
            <w:tcBorders>
              <w:left w:val="single" w:sz="4" w:space="0" w:color="auto"/>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（2）继续教育学分管理</w:t>
            </w:r>
          </w:p>
        </w:tc>
      </w:tr>
      <w:tr w:rsidR="00C75246" w:rsidTr="00F76D8F">
        <w:trPr>
          <w:trHeight w:val="270"/>
          <w:jc w:val="center"/>
        </w:trPr>
        <w:tc>
          <w:tcPr>
            <w:tcW w:w="980" w:type="dxa"/>
            <w:vMerge/>
            <w:tcBorders>
              <w:left w:val="single" w:sz="4" w:space="0" w:color="auto"/>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835" w:type="dxa"/>
            <w:tcBorders>
              <w:top w:val="nil"/>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r w:rsidRPr="00C75246">
              <w:rPr>
                <w:rFonts w:asciiTheme="minorEastAsia" w:hAnsiTheme="minorEastAsia" w:cs="宋体" w:hint="eastAsia"/>
                <w:kern w:val="0"/>
                <w:sz w:val="24"/>
                <w:szCs w:val="24"/>
              </w:rPr>
              <w:t>5.执业药师执业活动的监督管理</w:t>
            </w:r>
          </w:p>
        </w:tc>
        <w:tc>
          <w:tcPr>
            <w:tcW w:w="4004" w:type="dxa"/>
            <w:tcBorders>
              <w:top w:val="nil"/>
              <w:left w:val="nil"/>
              <w:bottom w:val="single" w:sz="4" w:space="0" w:color="auto"/>
              <w:right w:val="single" w:sz="4" w:space="0" w:color="auto"/>
            </w:tcBorders>
            <w:shd w:val="clear" w:color="auto" w:fill="auto"/>
            <w:vAlign w:val="center"/>
          </w:tcPr>
          <w:p w:rsidR="00C75246" w:rsidRPr="00C75246" w:rsidRDefault="00C75246" w:rsidP="00C75246">
            <w:pPr>
              <w:widowControl/>
              <w:ind w:left="0" w:firstLineChars="0" w:firstLine="0"/>
              <w:jc w:val="left"/>
              <w:rPr>
                <w:rFonts w:asciiTheme="minorEastAsia" w:hAnsiTheme="minorEastAsia" w:cs="宋体" w:hint="eastAsia"/>
                <w:kern w:val="0"/>
                <w:sz w:val="24"/>
                <w:szCs w:val="24"/>
              </w:rPr>
            </w:pPr>
            <w:r w:rsidRPr="00C75246">
              <w:rPr>
                <w:rFonts w:asciiTheme="minorEastAsia" w:hAnsiTheme="minorEastAsia" w:cs="宋体" w:hint="eastAsia"/>
                <w:kern w:val="0"/>
                <w:sz w:val="24"/>
                <w:szCs w:val="24"/>
              </w:rPr>
              <w:t>（1）监督检查的内容</w:t>
            </w:r>
          </w:p>
          <w:p w:rsidR="00C75246" w:rsidRPr="00C75246" w:rsidRDefault="00C75246" w:rsidP="00C75246">
            <w:pPr>
              <w:widowControl/>
              <w:ind w:left="0" w:firstLineChars="0" w:firstLine="0"/>
              <w:jc w:val="left"/>
              <w:rPr>
                <w:rFonts w:asciiTheme="minorEastAsia" w:hAnsiTheme="minorEastAsia" w:cs="宋体" w:hint="eastAsia"/>
                <w:kern w:val="0"/>
                <w:sz w:val="24"/>
                <w:szCs w:val="24"/>
              </w:rPr>
            </w:pPr>
            <w:r w:rsidRPr="00C75246">
              <w:rPr>
                <w:rFonts w:asciiTheme="minorEastAsia" w:hAnsiTheme="minorEastAsia" w:cs="宋体" w:hint="eastAsia"/>
                <w:kern w:val="0"/>
                <w:sz w:val="24"/>
                <w:szCs w:val="24"/>
              </w:rPr>
              <w:t>（2）违法违规参加资格考试、不按规定配备注册及“挂证”行为的处理</w:t>
            </w:r>
          </w:p>
        </w:tc>
      </w:tr>
      <w:tr w:rsidR="009D02A4">
        <w:trPr>
          <w:trHeight w:val="270"/>
          <w:jc w:val="center"/>
        </w:trPr>
        <w:tc>
          <w:tcPr>
            <w:tcW w:w="980" w:type="dxa"/>
            <w:vMerge/>
            <w:tcBorders>
              <w:left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二）执业药师职业道德与服务规范</w:t>
            </w:r>
          </w:p>
        </w:tc>
        <w:tc>
          <w:tcPr>
            <w:tcW w:w="2835"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执业药师职业道德</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我国执业药师职业道德准则的具体内容</w:t>
            </w:r>
          </w:p>
        </w:tc>
      </w:tr>
      <w:tr w:rsidR="009D02A4">
        <w:trPr>
          <w:trHeight w:val="270"/>
          <w:jc w:val="center"/>
        </w:trPr>
        <w:tc>
          <w:tcPr>
            <w:tcW w:w="980" w:type="dxa"/>
            <w:vMerge/>
            <w:tcBorders>
              <w:left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执业药师药学服务规范</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我国执业药师药学服务规范的主要内容</w:t>
            </w:r>
          </w:p>
        </w:tc>
      </w:tr>
      <w:tr w:rsidR="009D02A4">
        <w:trPr>
          <w:trHeight w:val="270"/>
          <w:jc w:val="center"/>
        </w:trPr>
        <w:tc>
          <w:tcPr>
            <w:tcW w:w="980" w:type="dxa"/>
            <w:vMerge/>
            <w:tcBorders>
              <w:left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val="restart"/>
            <w:tcBorders>
              <w:top w:val="nil"/>
              <w:left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三）药品与药品安全管理</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药品和药品安全</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）药品的界定、质量特性</w:t>
            </w:r>
            <w:r>
              <w:rPr>
                <w:rFonts w:asciiTheme="minorEastAsia" w:hAnsiTheme="minorEastAsia" w:cs="宋体" w:hint="eastAsia"/>
                <w:kern w:val="0"/>
                <w:sz w:val="24"/>
                <w:szCs w:val="24"/>
              </w:rPr>
              <w:t xml:space="preserve"> </w:t>
            </w:r>
          </w:p>
        </w:tc>
      </w:tr>
      <w:tr w:rsidR="009D02A4">
        <w:trPr>
          <w:trHeight w:val="270"/>
          <w:jc w:val="center"/>
        </w:trPr>
        <w:tc>
          <w:tcPr>
            <w:tcW w:w="980" w:type="dxa"/>
            <w:vMerge/>
            <w:tcBorders>
              <w:left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）药品安全的重要性</w:t>
            </w:r>
          </w:p>
        </w:tc>
      </w:tr>
      <w:tr w:rsidR="009D02A4">
        <w:trPr>
          <w:trHeight w:val="270"/>
          <w:jc w:val="center"/>
        </w:trPr>
        <w:tc>
          <w:tcPr>
            <w:tcW w:w="980" w:type="dxa"/>
            <w:vMerge/>
            <w:tcBorders>
              <w:left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药品安全管理</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）药品安全风险的特点、分类</w:t>
            </w:r>
            <w:r>
              <w:rPr>
                <w:rFonts w:asciiTheme="minorEastAsia" w:hAnsiTheme="minorEastAsia" w:cs="宋体" w:hint="eastAsia"/>
                <w:kern w:val="0"/>
                <w:sz w:val="24"/>
                <w:szCs w:val="24"/>
              </w:rPr>
              <w:t xml:space="preserve"> </w:t>
            </w:r>
          </w:p>
        </w:tc>
      </w:tr>
      <w:tr w:rsidR="009D02A4">
        <w:trPr>
          <w:trHeight w:val="270"/>
          <w:jc w:val="center"/>
        </w:trPr>
        <w:tc>
          <w:tcPr>
            <w:tcW w:w="980" w:type="dxa"/>
            <w:vMerge/>
            <w:tcBorders>
              <w:left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bottom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）药品安全风险管理的主要措施</w:t>
            </w:r>
          </w:p>
        </w:tc>
      </w:tr>
      <w:tr w:rsidR="009D02A4">
        <w:trPr>
          <w:trHeight w:val="270"/>
          <w:jc w:val="center"/>
        </w:trPr>
        <w:tc>
          <w:tcPr>
            <w:tcW w:w="980" w:type="dxa"/>
            <w:vMerge w:val="restart"/>
            <w:tcBorders>
              <w:left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val="restart"/>
            <w:tcBorders>
              <w:top w:val="single" w:sz="4" w:space="0" w:color="auto"/>
              <w:left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val="restart"/>
            <w:tcBorders>
              <w:top w:val="nil"/>
              <w:left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我国药品安全管理的目标任务</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）总体目标</w:t>
            </w:r>
            <w:r>
              <w:rPr>
                <w:rFonts w:asciiTheme="minorEastAsia" w:hAnsiTheme="minorEastAsia" w:cs="宋体" w:hint="eastAsia"/>
                <w:kern w:val="0"/>
                <w:sz w:val="24"/>
                <w:szCs w:val="24"/>
              </w:rPr>
              <w:t xml:space="preserve"> </w:t>
            </w:r>
          </w:p>
        </w:tc>
      </w:tr>
      <w:tr w:rsidR="009D02A4">
        <w:trPr>
          <w:trHeight w:val="270"/>
          <w:jc w:val="center"/>
        </w:trPr>
        <w:tc>
          <w:tcPr>
            <w:tcW w:w="980" w:type="dxa"/>
            <w:vMerge/>
            <w:tcBorders>
              <w:left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left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）规划指标</w:t>
            </w:r>
            <w:r>
              <w:rPr>
                <w:rFonts w:asciiTheme="minorEastAsia" w:hAnsiTheme="minorEastAsia" w:cs="宋体" w:hint="eastAsia"/>
                <w:kern w:val="0"/>
                <w:sz w:val="24"/>
                <w:szCs w:val="24"/>
              </w:rPr>
              <w:t xml:space="preserve"> </w:t>
            </w:r>
          </w:p>
        </w:tc>
      </w:tr>
      <w:tr w:rsidR="009D02A4">
        <w:trPr>
          <w:trHeight w:val="270"/>
          <w:jc w:val="center"/>
        </w:trPr>
        <w:tc>
          <w:tcPr>
            <w:tcW w:w="980" w:type="dxa"/>
            <w:vMerge/>
            <w:tcBorders>
              <w:left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left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）主要任务</w:t>
            </w:r>
            <w:r>
              <w:rPr>
                <w:rFonts w:asciiTheme="minorEastAsia" w:hAnsiTheme="minorEastAsia" w:cs="宋体" w:hint="eastAsia"/>
                <w:kern w:val="0"/>
                <w:sz w:val="24"/>
                <w:szCs w:val="24"/>
              </w:rPr>
              <w:t xml:space="preserve"> </w:t>
            </w:r>
          </w:p>
        </w:tc>
      </w:tr>
      <w:tr w:rsidR="009D02A4">
        <w:trPr>
          <w:trHeight w:val="450"/>
          <w:jc w:val="center"/>
        </w:trPr>
        <w:tc>
          <w:tcPr>
            <w:tcW w:w="980" w:type="dxa"/>
            <w:vMerge/>
            <w:tcBorders>
              <w:left w:val="single" w:sz="4" w:space="0" w:color="auto"/>
              <w:bottom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bottom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left w:val="single" w:sz="4" w:space="0" w:color="auto"/>
              <w:bottom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4</w:t>
            </w:r>
            <w:r>
              <w:rPr>
                <w:rFonts w:asciiTheme="minorEastAsia" w:hAnsiTheme="minorEastAsia" w:cs="宋体" w:hint="eastAsia"/>
                <w:kern w:val="0"/>
                <w:sz w:val="24"/>
                <w:szCs w:val="24"/>
              </w:rPr>
              <w:t>）保障措施</w:t>
            </w:r>
          </w:p>
        </w:tc>
      </w:tr>
      <w:tr w:rsidR="009D02A4">
        <w:trPr>
          <w:trHeight w:val="119"/>
          <w:jc w:val="center"/>
        </w:trPr>
        <w:tc>
          <w:tcPr>
            <w:tcW w:w="980" w:type="dxa"/>
            <w:tcBorders>
              <w:top w:val="single" w:sz="4" w:space="0" w:color="auto"/>
              <w:left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tcBorders>
              <w:top w:val="single" w:sz="4" w:space="0" w:color="auto"/>
              <w:left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tcBorders>
              <w:top w:val="single" w:sz="4" w:space="0" w:color="auto"/>
              <w:left w:val="single" w:sz="4" w:space="0" w:color="auto"/>
              <w:right w:val="single" w:sz="4" w:space="0" w:color="auto"/>
            </w:tcBorders>
            <w:vAlign w:val="center"/>
          </w:tcPr>
          <w:p w:rsidR="009D02A4" w:rsidRDefault="009D02A4">
            <w:pPr>
              <w:ind w:left="0" w:firstLineChars="0" w:firstLine="0"/>
              <w:jc w:val="left"/>
              <w:rPr>
                <w:rFonts w:asciiTheme="minorEastAsia" w:hAnsiTheme="minorEastAsia" w:cs="宋体"/>
                <w:kern w:val="0"/>
                <w:sz w:val="24"/>
                <w:szCs w:val="24"/>
              </w:rPr>
            </w:pPr>
          </w:p>
        </w:tc>
        <w:tc>
          <w:tcPr>
            <w:tcW w:w="4004" w:type="dxa"/>
            <w:tcBorders>
              <w:top w:val="single" w:sz="4" w:space="0" w:color="auto"/>
              <w:left w:val="nil"/>
              <w:right w:val="single" w:sz="4" w:space="0" w:color="auto"/>
            </w:tcBorders>
            <w:shd w:val="clear" w:color="auto" w:fill="auto"/>
            <w:vAlign w:val="center"/>
          </w:tcPr>
          <w:p w:rsidR="009D02A4" w:rsidRDefault="009D02A4">
            <w:pPr>
              <w:ind w:left="0" w:firstLineChars="0" w:firstLine="0"/>
              <w:jc w:val="left"/>
              <w:rPr>
                <w:rFonts w:asciiTheme="minorEastAsia" w:hAnsiTheme="minorEastAsia" w:cs="宋体"/>
                <w:kern w:val="0"/>
                <w:sz w:val="24"/>
                <w:szCs w:val="24"/>
              </w:rPr>
            </w:pPr>
          </w:p>
        </w:tc>
      </w:tr>
      <w:tr w:rsidR="009D02A4">
        <w:trPr>
          <w:trHeight w:val="270"/>
          <w:jc w:val="center"/>
        </w:trPr>
        <w:tc>
          <w:tcPr>
            <w:tcW w:w="980" w:type="dxa"/>
            <w:vMerge w:val="restart"/>
            <w:tcBorders>
              <w:top w:val="nil"/>
              <w:left w:val="single" w:sz="4" w:space="0" w:color="auto"/>
              <w:bottom w:val="single" w:sz="4" w:space="0" w:color="000000"/>
              <w:right w:val="single" w:sz="4" w:space="0" w:color="auto"/>
            </w:tcBorders>
            <w:shd w:val="clear" w:color="auto" w:fill="auto"/>
            <w:textDirection w:val="tbRlV"/>
            <w:vAlign w:val="center"/>
          </w:tcPr>
          <w:p w:rsidR="009D02A4" w:rsidRDefault="00A05A33">
            <w:pPr>
              <w:widowControl/>
              <w:ind w:left="0" w:firstLineChars="0" w:firstLine="0"/>
              <w:jc w:val="center"/>
              <w:rPr>
                <w:rFonts w:asciiTheme="minorEastAsia" w:hAnsiTheme="minorEastAsia" w:cs="宋体"/>
                <w:kern w:val="0"/>
                <w:sz w:val="24"/>
                <w:szCs w:val="24"/>
              </w:rPr>
            </w:pPr>
            <w:r>
              <w:rPr>
                <w:rFonts w:asciiTheme="minorEastAsia" w:hAnsiTheme="minorEastAsia" w:cs="宋体" w:hint="eastAsia"/>
                <w:kern w:val="0"/>
                <w:sz w:val="24"/>
                <w:szCs w:val="24"/>
              </w:rPr>
              <w:t>二</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医药卫生体制改革与国家基本药物制度</w:t>
            </w:r>
          </w:p>
        </w:tc>
        <w:tc>
          <w:tcPr>
            <w:tcW w:w="2010"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（一）深化医药卫生体制改革</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基本原则和总体目标</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）基本原则</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）总体目标</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建立国家基本医疗卫生制度</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公共卫生服务体系、医疗服务体系、医疗保障体系、药品供应保障体系的基本内容</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完善保障医药卫生体系有效规范运转的体制机制</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完善体制机制的基本内容</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kern w:val="0"/>
                <w:sz w:val="24"/>
                <w:szCs w:val="24"/>
              </w:rPr>
              <w:t>药品供应保障体系</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建立健全药品供应保障体系的主要</w:t>
            </w:r>
            <w:r>
              <w:rPr>
                <w:rFonts w:asciiTheme="minorEastAsia" w:hAnsiTheme="minorEastAsia" w:cs="宋体" w:hint="eastAsia"/>
                <w:kern w:val="0"/>
                <w:sz w:val="24"/>
                <w:szCs w:val="24"/>
              </w:rPr>
              <w:lastRenderedPageBreak/>
              <w:t>要求和内容</w:t>
            </w:r>
          </w:p>
        </w:tc>
      </w:tr>
      <w:tr w:rsidR="00C75246">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010" w:type="dxa"/>
            <w:vMerge w:val="restart"/>
            <w:tcBorders>
              <w:top w:val="nil"/>
              <w:left w:val="single" w:sz="4" w:space="0" w:color="auto"/>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（二）药品供应保障制度</w:t>
            </w:r>
          </w:p>
        </w:tc>
        <w:tc>
          <w:tcPr>
            <w:tcW w:w="2835" w:type="dxa"/>
            <w:tcBorders>
              <w:top w:val="nil"/>
              <w:left w:val="nil"/>
              <w:bottom w:val="single" w:sz="4" w:space="0" w:color="auto"/>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1.健全药品供应保障制度</w:t>
            </w:r>
          </w:p>
        </w:tc>
        <w:tc>
          <w:tcPr>
            <w:tcW w:w="4004" w:type="dxa"/>
            <w:tcBorders>
              <w:top w:val="nil"/>
              <w:left w:val="nil"/>
              <w:bottom w:val="single" w:sz="4" w:space="0" w:color="auto"/>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《“十三五”深化医药卫生体制改革规划》中健全供应保障制度的任务和要求</w:t>
            </w:r>
          </w:p>
        </w:tc>
      </w:tr>
      <w:tr w:rsidR="00C75246">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835" w:type="dxa"/>
            <w:tcBorders>
              <w:top w:val="nil"/>
              <w:left w:val="nil"/>
              <w:bottom w:val="single" w:sz="4" w:space="0" w:color="auto"/>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2.改革完善药品生产流通使用政策</w:t>
            </w:r>
          </w:p>
        </w:tc>
        <w:tc>
          <w:tcPr>
            <w:tcW w:w="4004" w:type="dxa"/>
            <w:tcBorders>
              <w:top w:val="nil"/>
              <w:left w:val="nil"/>
              <w:bottom w:val="single" w:sz="4" w:space="0" w:color="auto"/>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《关于进一步改革完善药品生产流通使用政策的若干意见》的主要内容</w:t>
            </w:r>
          </w:p>
        </w:tc>
      </w:tr>
      <w:tr w:rsidR="00C75246" w:rsidTr="00A324D1">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835" w:type="dxa"/>
            <w:tcBorders>
              <w:top w:val="nil"/>
              <w:left w:val="nil"/>
              <w:bottom w:val="single" w:sz="4" w:space="0" w:color="auto"/>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3.改革完善短缺药品供应保障机制</w:t>
            </w:r>
          </w:p>
        </w:tc>
        <w:tc>
          <w:tcPr>
            <w:tcW w:w="4004" w:type="dxa"/>
            <w:tcBorders>
              <w:top w:val="nil"/>
              <w:left w:val="nil"/>
              <w:bottom w:val="single" w:sz="4" w:space="0" w:color="auto"/>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短缺药品供应保障机制的主要内容</w:t>
            </w:r>
          </w:p>
        </w:tc>
      </w:tr>
      <w:tr w:rsidR="00C75246">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835" w:type="dxa"/>
            <w:tcBorders>
              <w:top w:val="nil"/>
              <w:left w:val="nil"/>
              <w:bottom w:val="single" w:sz="4" w:space="0" w:color="auto"/>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hint="eastAsia"/>
                <w:kern w:val="0"/>
                <w:sz w:val="24"/>
                <w:szCs w:val="24"/>
              </w:rPr>
            </w:pPr>
            <w:r w:rsidRPr="00C75246">
              <w:rPr>
                <w:rFonts w:asciiTheme="minorEastAsia" w:hAnsiTheme="minorEastAsia" w:cs="宋体" w:hint="eastAsia"/>
                <w:kern w:val="0"/>
                <w:sz w:val="24"/>
                <w:szCs w:val="24"/>
              </w:rPr>
              <w:t>4.改革完善仿制药供应保障及使用政策</w:t>
            </w:r>
          </w:p>
        </w:tc>
        <w:tc>
          <w:tcPr>
            <w:tcW w:w="4004" w:type="dxa"/>
            <w:tcBorders>
              <w:top w:val="nil"/>
              <w:left w:val="nil"/>
              <w:bottom w:val="single" w:sz="4" w:space="0" w:color="auto"/>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hint="eastAsia"/>
                <w:kern w:val="0"/>
                <w:sz w:val="24"/>
                <w:szCs w:val="24"/>
              </w:rPr>
            </w:pPr>
            <w:r w:rsidRPr="00C75246">
              <w:rPr>
                <w:rFonts w:asciiTheme="minorEastAsia" w:hAnsiTheme="minorEastAsia" w:cs="宋体" w:hint="eastAsia"/>
                <w:kern w:val="0"/>
                <w:sz w:val="24"/>
                <w:szCs w:val="24"/>
              </w:rPr>
              <w:t>《改革完善仿制药供应保障及使用政策的意见》的主要内容</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三）国家基本药物制度</w:t>
            </w:r>
          </w:p>
        </w:tc>
        <w:tc>
          <w:tcPr>
            <w:tcW w:w="2835" w:type="dxa"/>
            <w:vMerge w:val="restart"/>
            <w:tcBorders>
              <w:top w:val="nil"/>
              <w:left w:val="nil"/>
              <w:right w:val="single" w:sz="4" w:space="0" w:color="auto"/>
            </w:tcBorders>
            <w:shd w:val="clear" w:color="auto" w:fill="auto"/>
            <w:vAlign w:val="center"/>
          </w:tcPr>
          <w:p w:rsidR="009D02A4" w:rsidRDefault="00A05A33">
            <w:pPr>
              <w:widowControl/>
              <w:ind w:left="0" w:firstLineChars="0" w:firstLine="0"/>
              <w:jc w:val="center"/>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国家基本药物制度的内涵</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）基本药物和国家基本药物制度的界定与主要内容</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left w:val="nil"/>
              <w:right w:val="single" w:sz="4" w:space="0" w:color="auto"/>
            </w:tcBorders>
            <w:shd w:val="clear" w:color="auto" w:fill="auto"/>
            <w:vAlign w:val="center"/>
          </w:tcPr>
          <w:p w:rsidR="009D02A4" w:rsidRDefault="009D02A4">
            <w:pPr>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）实施基本药物制度的目标</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left w:val="nil"/>
              <w:bottom w:val="single" w:sz="4" w:space="0" w:color="auto"/>
              <w:right w:val="single" w:sz="4" w:space="0" w:color="auto"/>
            </w:tcBorders>
            <w:shd w:val="clear" w:color="auto" w:fill="auto"/>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）基本药物管理部门及职能</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val="restart"/>
            <w:tcBorders>
              <w:top w:val="nil"/>
              <w:left w:val="nil"/>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国家基本药物目录管理</w:t>
            </w:r>
          </w:p>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p w:rsidR="009D02A4" w:rsidRDefault="00A05A33">
            <w:pPr>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）基本药物遴选原则和范围</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left w:val="nil"/>
              <w:right w:val="single" w:sz="4" w:space="0" w:color="auto"/>
            </w:tcBorders>
            <w:shd w:val="clear" w:color="auto" w:fill="auto"/>
            <w:vAlign w:val="center"/>
          </w:tcPr>
          <w:p w:rsidR="009D02A4" w:rsidRDefault="009D02A4">
            <w:pPr>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）国家基本药物目录调整依据和周期</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left w:val="nil"/>
              <w:bottom w:val="single" w:sz="4" w:space="0" w:color="auto"/>
              <w:right w:val="single" w:sz="4" w:space="0" w:color="auto"/>
            </w:tcBorders>
            <w:shd w:val="clear" w:color="auto" w:fill="auto"/>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）国家基本药物目录构成</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val="restart"/>
            <w:tcBorders>
              <w:top w:val="nil"/>
              <w:left w:val="nil"/>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基本药物质量监督管理</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）基本药物质量监管机构及职能</w:t>
            </w:r>
            <w:r>
              <w:rPr>
                <w:rFonts w:asciiTheme="minorEastAsia" w:hAnsiTheme="minorEastAsia" w:cs="宋体" w:hint="eastAsia"/>
                <w:kern w:val="0"/>
                <w:sz w:val="24"/>
                <w:szCs w:val="24"/>
              </w:rPr>
              <w:t xml:space="preserve"> </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left w:val="nil"/>
              <w:right w:val="single" w:sz="4" w:space="0" w:color="auto"/>
            </w:tcBorders>
            <w:shd w:val="clear" w:color="auto" w:fill="auto"/>
            <w:vAlign w:val="center"/>
          </w:tcPr>
          <w:p w:rsidR="009D02A4" w:rsidRDefault="009D02A4">
            <w:pPr>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）基本药物质量监管要求</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left w:val="nil"/>
              <w:bottom w:val="single" w:sz="4" w:space="0" w:color="auto"/>
              <w:right w:val="single" w:sz="4" w:space="0" w:color="auto"/>
            </w:tcBorders>
            <w:shd w:val="clear" w:color="auto" w:fill="auto"/>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）药品追溯体系的规定</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val="restart"/>
            <w:tcBorders>
              <w:top w:val="nil"/>
              <w:left w:val="nil"/>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kern w:val="0"/>
                <w:sz w:val="24"/>
                <w:szCs w:val="24"/>
              </w:rPr>
              <w:t>基本药物釆</w:t>
            </w:r>
            <w:proofErr w:type="gramStart"/>
            <w:r>
              <w:rPr>
                <w:rFonts w:asciiTheme="minorEastAsia" w:hAnsiTheme="minorEastAsia" w:cs="宋体" w:hint="eastAsia"/>
                <w:kern w:val="0"/>
                <w:sz w:val="24"/>
                <w:szCs w:val="24"/>
              </w:rPr>
              <w:t>购管理</w:t>
            </w:r>
            <w:proofErr w:type="gramEnd"/>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）基本药物集中釆</w:t>
            </w:r>
            <w:proofErr w:type="gramStart"/>
            <w:r>
              <w:rPr>
                <w:rFonts w:asciiTheme="minorEastAsia" w:hAnsiTheme="minorEastAsia" w:cs="宋体" w:hint="eastAsia"/>
                <w:kern w:val="0"/>
                <w:sz w:val="24"/>
                <w:szCs w:val="24"/>
              </w:rPr>
              <w:t>购总体</w:t>
            </w:r>
            <w:proofErr w:type="gramEnd"/>
            <w:r>
              <w:rPr>
                <w:rFonts w:asciiTheme="minorEastAsia" w:hAnsiTheme="minorEastAsia" w:cs="宋体" w:hint="eastAsia"/>
                <w:kern w:val="0"/>
                <w:sz w:val="24"/>
                <w:szCs w:val="24"/>
              </w:rPr>
              <w:t>思路</w:t>
            </w:r>
            <w:r>
              <w:rPr>
                <w:rFonts w:asciiTheme="minorEastAsia" w:hAnsiTheme="minorEastAsia" w:cs="宋体" w:hint="eastAsia"/>
                <w:kern w:val="0"/>
                <w:sz w:val="24"/>
                <w:szCs w:val="24"/>
              </w:rPr>
              <w:t xml:space="preserve"> </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left w:val="nil"/>
              <w:bottom w:val="single" w:sz="4" w:space="0" w:color="auto"/>
              <w:right w:val="single" w:sz="4" w:space="0" w:color="auto"/>
            </w:tcBorders>
            <w:shd w:val="clear" w:color="auto" w:fill="auto"/>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）基本药物集中采购主要措施</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val="restart"/>
            <w:tcBorders>
              <w:top w:val="nil"/>
              <w:left w:val="nil"/>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hint="eastAsia"/>
                <w:kern w:val="0"/>
                <w:sz w:val="24"/>
                <w:szCs w:val="24"/>
              </w:rPr>
              <w:t>基本药物的报销与补偿</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）基本药物报销规定</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left w:val="nil"/>
              <w:bottom w:val="single" w:sz="4" w:space="0" w:color="auto"/>
              <w:right w:val="single" w:sz="4" w:space="0" w:color="auto"/>
            </w:tcBorders>
            <w:shd w:val="clear" w:color="auto" w:fill="auto"/>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）基本药物补偿规定</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6.</w:t>
            </w:r>
            <w:r>
              <w:rPr>
                <w:rFonts w:asciiTheme="minorEastAsia" w:hAnsiTheme="minorEastAsia" w:cs="宋体" w:hint="eastAsia"/>
                <w:kern w:val="0"/>
                <w:sz w:val="24"/>
                <w:szCs w:val="24"/>
              </w:rPr>
              <w:t>基本药物使用管理</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基本药物使用主要要求</w:t>
            </w:r>
          </w:p>
        </w:tc>
      </w:tr>
      <w:tr w:rsidR="009D02A4">
        <w:trPr>
          <w:trHeight w:val="540"/>
          <w:jc w:val="center"/>
        </w:trPr>
        <w:tc>
          <w:tcPr>
            <w:tcW w:w="980" w:type="dxa"/>
            <w:vMerge w:val="restart"/>
            <w:tcBorders>
              <w:top w:val="nil"/>
              <w:left w:val="single" w:sz="4" w:space="0" w:color="auto"/>
              <w:bottom w:val="single" w:sz="4" w:space="0" w:color="000000"/>
              <w:right w:val="single" w:sz="4" w:space="0" w:color="auto"/>
            </w:tcBorders>
            <w:shd w:val="clear" w:color="auto" w:fill="auto"/>
            <w:textDirection w:val="tbRlV"/>
            <w:vAlign w:val="center"/>
          </w:tcPr>
          <w:p w:rsidR="009D02A4" w:rsidRDefault="00A05A33">
            <w:pPr>
              <w:widowControl/>
              <w:ind w:left="0" w:firstLineChars="0" w:firstLine="0"/>
              <w:jc w:val="center"/>
              <w:rPr>
                <w:rFonts w:asciiTheme="minorEastAsia" w:hAnsiTheme="minorEastAsia" w:cs="宋体"/>
                <w:kern w:val="0"/>
                <w:sz w:val="24"/>
                <w:szCs w:val="24"/>
              </w:rPr>
            </w:pPr>
            <w:r>
              <w:rPr>
                <w:rFonts w:asciiTheme="minorEastAsia" w:hAnsiTheme="minorEastAsia" w:cs="宋体" w:hint="eastAsia"/>
                <w:kern w:val="0"/>
                <w:sz w:val="24"/>
                <w:szCs w:val="24"/>
              </w:rPr>
              <w:t>三</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药品监督管理体制与法律体系</w:t>
            </w:r>
          </w:p>
        </w:tc>
        <w:tc>
          <w:tcPr>
            <w:tcW w:w="2010"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一）药品监督管理机构</w:t>
            </w:r>
          </w:p>
        </w:tc>
        <w:tc>
          <w:tcPr>
            <w:tcW w:w="2835"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药品监督管理部门</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国家和地方药品监督管理部门与药品管理相关的职责</w:t>
            </w:r>
          </w:p>
        </w:tc>
      </w:tr>
      <w:tr w:rsidR="009D02A4">
        <w:trPr>
          <w:trHeight w:val="135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药品管理工作相关部门</w:t>
            </w:r>
          </w:p>
        </w:tc>
        <w:tc>
          <w:tcPr>
            <w:tcW w:w="4004" w:type="dxa"/>
            <w:tcBorders>
              <w:top w:val="nil"/>
              <w:left w:val="nil"/>
              <w:bottom w:val="single" w:sz="4" w:space="0" w:color="auto"/>
              <w:right w:val="single" w:sz="4" w:space="0" w:color="auto"/>
            </w:tcBorders>
            <w:shd w:val="clear" w:color="auto" w:fill="auto"/>
            <w:vAlign w:val="center"/>
          </w:tcPr>
          <w:p w:rsidR="009D02A4" w:rsidRDefault="00C75246">
            <w:pPr>
              <w:widowControl/>
              <w:ind w:left="0" w:firstLineChars="0" w:firstLine="0"/>
              <w:jc w:val="left"/>
              <w:rPr>
                <w:rFonts w:asciiTheme="minorEastAsia" w:hAnsiTheme="minorEastAsia" w:cs="宋体"/>
                <w:kern w:val="0"/>
                <w:sz w:val="24"/>
                <w:szCs w:val="24"/>
              </w:rPr>
            </w:pPr>
            <w:r w:rsidRPr="00C75246">
              <w:rPr>
                <w:rFonts w:asciiTheme="minorEastAsia" w:hAnsiTheme="minorEastAsia" w:cs="宋体" w:hint="eastAsia"/>
                <w:kern w:val="0"/>
                <w:sz w:val="24"/>
                <w:szCs w:val="24"/>
              </w:rPr>
              <w:t>卫生健康部门、中医药管理部门、发展改革宏观调控部门、人力资源社会保障部门、市场监督管理部门、工业和信息化管理部门、商务管理部门、医疗保障部门、海关、公安部门等与药品管理相关职责</w:t>
            </w:r>
          </w:p>
        </w:tc>
      </w:tr>
      <w:tr w:rsidR="009D02A4">
        <w:trPr>
          <w:trHeight w:val="135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二）药品监督管理技术支撑机构</w:t>
            </w:r>
          </w:p>
        </w:tc>
        <w:tc>
          <w:tcPr>
            <w:tcW w:w="2835"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国家药品监督管理技术支撑机构的职责</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中国食品药品检定研究院、国家药典委员会、药品审评中心、食品药品审核查验中心、药品评价中心、国家中药品种保护审评委员会、行政事项受理服务和投诉举报中心、执业药师资格认证中心与执业药师执业相关的职责</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三）药品管理立法</w:t>
            </w:r>
          </w:p>
        </w:tc>
        <w:tc>
          <w:tcPr>
            <w:tcW w:w="2835"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法的基本知识</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法的特征、法律渊源、法律效力、法律责任</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药品管理法律体系和法律关系</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）药品管理法律体系</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）药品管理法律关系</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四）药品监督管理行政法律制度</w:t>
            </w:r>
          </w:p>
        </w:tc>
        <w:tc>
          <w:tcPr>
            <w:tcW w:w="2835" w:type="dxa"/>
            <w:vMerge w:val="restart"/>
            <w:tcBorders>
              <w:top w:val="nil"/>
              <w:left w:val="nil"/>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行政许可</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）设定和实施行政许可的原则和事项</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left w:val="nil"/>
              <w:right w:val="single" w:sz="4" w:space="0" w:color="auto"/>
            </w:tcBorders>
            <w:shd w:val="clear" w:color="auto" w:fill="auto"/>
            <w:vAlign w:val="center"/>
          </w:tcPr>
          <w:p w:rsidR="009D02A4" w:rsidRDefault="009D02A4">
            <w:pPr>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）行政许可申请和受理</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left w:val="nil"/>
              <w:bottom w:val="single" w:sz="4" w:space="0" w:color="auto"/>
              <w:right w:val="single" w:sz="4" w:space="0" w:color="auto"/>
            </w:tcBorders>
            <w:shd w:val="clear" w:color="auto" w:fill="auto"/>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）撤销行政许可的情形</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val="restart"/>
            <w:tcBorders>
              <w:top w:val="nil"/>
              <w:left w:val="nil"/>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行政强制</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）行政强制措施的种类</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left w:val="nil"/>
              <w:bottom w:val="single" w:sz="4" w:space="0" w:color="auto"/>
              <w:right w:val="single" w:sz="4" w:space="0" w:color="auto"/>
            </w:tcBorders>
            <w:shd w:val="clear" w:color="auto" w:fill="auto"/>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）行政强制执行的方式</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行政处罚</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行政处罚的决定及程序</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kern w:val="0"/>
                <w:sz w:val="24"/>
                <w:szCs w:val="24"/>
              </w:rPr>
              <w:t>行政复议</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行政复议的范围、申请和期限</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hint="eastAsia"/>
                <w:kern w:val="0"/>
                <w:sz w:val="24"/>
                <w:szCs w:val="24"/>
              </w:rPr>
              <w:t>行政诉讼</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行政诉讼的受案范围、起诉和受理</w:t>
            </w:r>
          </w:p>
        </w:tc>
      </w:tr>
      <w:tr w:rsidR="009D02A4">
        <w:trPr>
          <w:trHeight w:val="540"/>
          <w:jc w:val="center"/>
        </w:trPr>
        <w:tc>
          <w:tcPr>
            <w:tcW w:w="980" w:type="dxa"/>
            <w:vMerge w:val="restart"/>
            <w:tcBorders>
              <w:top w:val="nil"/>
              <w:left w:val="single" w:sz="4" w:space="0" w:color="auto"/>
              <w:right w:val="single" w:sz="4" w:space="0" w:color="auto"/>
            </w:tcBorders>
            <w:shd w:val="clear" w:color="auto" w:fill="auto"/>
            <w:textDirection w:val="tbRlV"/>
            <w:vAlign w:val="center"/>
          </w:tcPr>
          <w:p w:rsidR="009D02A4" w:rsidRDefault="00A05A33">
            <w:pPr>
              <w:widowControl/>
              <w:ind w:left="0" w:firstLineChars="0" w:firstLine="0"/>
              <w:jc w:val="center"/>
              <w:rPr>
                <w:rFonts w:asciiTheme="minorEastAsia" w:hAnsiTheme="minorEastAsia" w:cs="宋体"/>
                <w:kern w:val="0"/>
                <w:sz w:val="24"/>
                <w:szCs w:val="24"/>
              </w:rPr>
            </w:pPr>
            <w:r>
              <w:rPr>
                <w:rFonts w:asciiTheme="minorEastAsia" w:hAnsiTheme="minorEastAsia" w:cs="宋体" w:hint="eastAsia"/>
                <w:kern w:val="0"/>
                <w:sz w:val="24"/>
                <w:szCs w:val="24"/>
              </w:rPr>
              <w:t>四</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药品研制与生产管理</w:t>
            </w:r>
          </w:p>
        </w:tc>
        <w:tc>
          <w:tcPr>
            <w:tcW w:w="2010" w:type="dxa"/>
            <w:vMerge w:val="restart"/>
            <w:tcBorders>
              <w:top w:val="nil"/>
              <w:left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一）药品研制与注册管理</w:t>
            </w:r>
          </w:p>
        </w:tc>
        <w:tc>
          <w:tcPr>
            <w:tcW w:w="2835" w:type="dxa"/>
            <w:vMerge w:val="restart"/>
            <w:tcBorders>
              <w:top w:val="nil"/>
              <w:left w:val="nil"/>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药品研制与质量管理规范</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）药物临床试验的分期和目的</w:t>
            </w:r>
          </w:p>
        </w:tc>
      </w:tr>
      <w:tr w:rsidR="009D02A4">
        <w:trPr>
          <w:trHeight w:val="540"/>
          <w:jc w:val="center"/>
        </w:trPr>
        <w:tc>
          <w:tcPr>
            <w:tcW w:w="980" w:type="dxa"/>
            <w:vMerge/>
            <w:tcBorders>
              <w:left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left w:val="nil"/>
              <w:bottom w:val="single" w:sz="4" w:space="0" w:color="auto"/>
              <w:right w:val="single" w:sz="4" w:space="0" w:color="auto"/>
            </w:tcBorders>
            <w:shd w:val="clear" w:color="auto" w:fill="auto"/>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）药物非临床</w:t>
            </w:r>
            <w:proofErr w:type="gramStart"/>
            <w:r>
              <w:rPr>
                <w:rFonts w:asciiTheme="minorEastAsia" w:hAnsiTheme="minorEastAsia" w:cs="宋体" w:hint="eastAsia"/>
                <w:kern w:val="0"/>
                <w:sz w:val="24"/>
                <w:szCs w:val="24"/>
              </w:rPr>
              <w:t>研宄</w:t>
            </w:r>
            <w:proofErr w:type="gramEnd"/>
            <w:r>
              <w:rPr>
                <w:rFonts w:asciiTheme="minorEastAsia" w:hAnsiTheme="minorEastAsia" w:cs="宋体" w:hint="eastAsia"/>
                <w:kern w:val="0"/>
                <w:sz w:val="24"/>
                <w:szCs w:val="24"/>
              </w:rPr>
              <w:t>质量管理规范和药物临床试验质量管理规范的基本要求</w:t>
            </w:r>
          </w:p>
        </w:tc>
      </w:tr>
      <w:tr w:rsidR="009D02A4">
        <w:trPr>
          <w:trHeight w:val="270"/>
          <w:jc w:val="center"/>
        </w:trPr>
        <w:tc>
          <w:tcPr>
            <w:tcW w:w="980" w:type="dxa"/>
            <w:vMerge/>
            <w:tcBorders>
              <w:left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val="restart"/>
            <w:tcBorders>
              <w:top w:val="nil"/>
              <w:left w:val="nil"/>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药品注册管理与</w:t>
            </w:r>
            <w:proofErr w:type="gramStart"/>
            <w:r>
              <w:rPr>
                <w:rFonts w:asciiTheme="minorEastAsia" w:hAnsiTheme="minorEastAsia" w:cs="宋体" w:hint="eastAsia"/>
                <w:kern w:val="0"/>
                <w:sz w:val="24"/>
                <w:szCs w:val="24"/>
              </w:rPr>
              <w:t>审评审批</w:t>
            </w:r>
            <w:proofErr w:type="gramEnd"/>
            <w:r>
              <w:rPr>
                <w:rFonts w:asciiTheme="minorEastAsia" w:hAnsiTheme="minorEastAsia" w:cs="宋体" w:hint="eastAsia"/>
                <w:kern w:val="0"/>
                <w:sz w:val="24"/>
                <w:szCs w:val="24"/>
              </w:rPr>
              <w:t>制度改革</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）药品医疗器械</w:t>
            </w:r>
            <w:proofErr w:type="gramStart"/>
            <w:r>
              <w:rPr>
                <w:rFonts w:asciiTheme="minorEastAsia" w:hAnsiTheme="minorEastAsia" w:cs="宋体" w:hint="eastAsia"/>
                <w:kern w:val="0"/>
                <w:sz w:val="24"/>
                <w:szCs w:val="24"/>
              </w:rPr>
              <w:t>审评审批</w:t>
            </w:r>
            <w:proofErr w:type="gramEnd"/>
            <w:r>
              <w:rPr>
                <w:rFonts w:asciiTheme="minorEastAsia" w:hAnsiTheme="minorEastAsia" w:cs="宋体" w:hint="eastAsia"/>
                <w:kern w:val="0"/>
                <w:sz w:val="24"/>
                <w:szCs w:val="24"/>
              </w:rPr>
              <w:t>改革内容</w:t>
            </w:r>
          </w:p>
        </w:tc>
      </w:tr>
      <w:tr w:rsidR="009D02A4">
        <w:trPr>
          <w:trHeight w:val="270"/>
          <w:jc w:val="center"/>
        </w:trPr>
        <w:tc>
          <w:tcPr>
            <w:tcW w:w="980" w:type="dxa"/>
            <w:vMerge/>
            <w:tcBorders>
              <w:left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left w:val="nil"/>
              <w:right w:val="single" w:sz="4" w:space="0" w:color="auto"/>
            </w:tcBorders>
            <w:shd w:val="clear" w:color="auto" w:fill="auto"/>
            <w:vAlign w:val="center"/>
          </w:tcPr>
          <w:p w:rsidR="009D02A4" w:rsidRDefault="009D02A4">
            <w:pPr>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）药品注册和药品注册申请的界定</w:t>
            </w:r>
          </w:p>
        </w:tc>
      </w:tr>
      <w:tr w:rsidR="009D02A4">
        <w:trPr>
          <w:trHeight w:val="270"/>
          <w:jc w:val="center"/>
        </w:trPr>
        <w:tc>
          <w:tcPr>
            <w:tcW w:w="980" w:type="dxa"/>
            <w:vMerge/>
            <w:tcBorders>
              <w:left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left w:val="nil"/>
              <w:bottom w:val="single" w:sz="4" w:space="0" w:color="auto"/>
              <w:right w:val="single" w:sz="4" w:space="0" w:color="auto"/>
            </w:tcBorders>
            <w:shd w:val="clear" w:color="auto" w:fill="auto"/>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）药品注册管理机构</w:t>
            </w:r>
          </w:p>
        </w:tc>
      </w:tr>
      <w:tr w:rsidR="009D02A4">
        <w:trPr>
          <w:trHeight w:val="270"/>
          <w:jc w:val="center"/>
        </w:trPr>
        <w:tc>
          <w:tcPr>
            <w:tcW w:w="980" w:type="dxa"/>
            <w:vMerge/>
            <w:tcBorders>
              <w:left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val="restart"/>
            <w:tcBorders>
              <w:top w:val="nil"/>
              <w:left w:val="nil"/>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p w:rsidR="009D02A4" w:rsidRDefault="00A05A33">
            <w:pPr>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4</w:t>
            </w:r>
            <w:r>
              <w:rPr>
                <w:rFonts w:asciiTheme="minorEastAsia" w:hAnsiTheme="minorEastAsia" w:cs="宋体" w:hint="eastAsia"/>
                <w:kern w:val="0"/>
                <w:sz w:val="24"/>
                <w:szCs w:val="24"/>
              </w:rPr>
              <w:t>）药品注册分类</w:t>
            </w:r>
          </w:p>
        </w:tc>
      </w:tr>
      <w:tr w:rsidR="009D02A4">
        <w:trPr>
          <w:trHeight w:val="270"/>
          <w:jc w:val="center"/>
        </w:trPr>
        <w:tc>
          <w:tcPr>
            <w:tcW w:w="980" w:type="dxa"/>
            <w:vMerge/>
            <w:tcBorders>
              <w:left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left w:val="nil"/>
              <w:bottom w:val="single" w:sz="4" w:space="0" w:color="auto"/>
              <w:right w:val="single" w:sz="4" w:space="0" w:color="auto"/>
            </w:tcBorders>
            <w:shd w:val="clear" w:color="auto" w:fill="auto"/>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5</w:t>
            </w:r>
            <w:r>
              <w:rPr>
                <w:rFonts w:asciiTheme="minorEastAsia" w:hAnsiTheme="minorEastAsia" w:cs="宋体" w:hint="eastAsia"/>
                <w:kern w:val="0"/>
                <w:sz w:val="24"/>
                <w:szCs w:val="24"/>
              </w:rPr>
              <w:t>）药品批准文件</w:t>
            </w:r>
          </w:p>
        </w:tc>
      </w:tr>
      <w:tr w:rsidR="009D02A4">
        <w:trPr>
          <w:trHeight w:val="270"/>
          <w:jc w:val="center"/>
        </w:trPr>
        <w:tc>
          <w:tcPr>
            <w:tcW w:w="980" w:type="dxa"/>
            <w:vMerge/>
            <w:tcBorders>
              <w:left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6</w:t>
            </w:r>
            <w:r>
              <w:rPr>
                <w:rFonts w:asciiTheme="minorEastAsia" w:hAnsiTheme="minorEastAsia" w:cs="宋体" w:hint="eastAsia"/>
                <w:kern w:val="0"/>
                <w:sz w:val="24"/>
                <w:szCs w:val="24"/>
              </w:rPr>
              <w:t>）新药监测期</w:t>
            </w:r>
          </w:p>
        </w:tc>
      </w:tr>
      <w:tr w:rsidR="009D02A4">
        <w:trPr>
          <w:trHeight w:val="270"/>
          <w:jc w:val="center"/>
        </w:trPr>
        <w:tc>
          <w:tcPr>
            <w:tcW w:w="980" w:type="dxa"/>
            <w:vMerge/>
            <w:tcBorders>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药品再评价</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药品再评价的管理</w:t>
            </w:r>
          </w:p>
        </w:tc>
      </w:tr>
      <w:tr w:rsidR="009D02A4">
        <w:trPr>
          <w:trHeight w:val="270"/>
          <w:jc w:val="center"/>
        </w:trPr>
        <w:tc>
          <w:tcPr>
            <w:tcW w:w="980" w:type="dxa"/>
            <w:vMerge/>
            <w:tcBorders>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kern w:val="0"/>
                <w:sz w:val="24"/>
                <w:szCs w:val="24"/>
              </w:rPr>
              <w:t>中国上市药品目录集</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收录药品的范围和具体信息</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二）药品生产管理</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药品生产许可</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）药品生产许可的申请和审批</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）药品生产许可证管理</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药品生产质量管理</w:t>
            </w:r>
            <w:proofErr w:type="gramStart"/>
            <w:r>
              <w:rPr>
                <w:rFonts w:asciiTheme="minorEastAsia" w:hAnsiTheme="minorEastAsia" w:cs="宋体" w:hint="eastAsia"/>
                <w:kern w:val="0"/>
                <w:sz w:val="24"/>
                <w:szCs w:val="24"/>
              </w:rPr>
              <w:t>规</w:t>
            </w:r>
            <w:proofErr w:type="gramEnd"/>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w:t>
            </w:r>
            <w:r>
              <w:rPr>
                <w:rFonts w:asciiTheme="minorEastAsia" w:hAnsiTheme="minorEastAsia" w:cs="宋体" w:hint="eastAsia"/>
                <w:kern w:val="0"/>
                <w:sz w:val="24"/>
                <w:szCs w:val="24"/>
              </w:rPr>
              <w:t>GMP</w:t>
            </w:r>
            <w:r>
              <w:rPr>
                <w:rFonts w:asciiTheme="minorEastAsia" w:hAnsiTheme="minorEastAsia" w:cs="宋体" w:hint="eastAsia"/>
                <w:kern w:val="0"/>
                <w:sz w:val="24"/>
                <w:szCs w:val="24"/>
              </w:rPr>
              <w:t>的基本要求和实施</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）药品批次划分原则</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w:t>
            </w:r>
            <w:r>
              <w:rPr>
                <w:rFonts w:asciiTheme="minorEastAsia" w:hAnsiTheme="minorEastAsia" w:cs="宋体" w:hint="eastAsia"/>
                <w:kern w:val="0"/>
                <w:sz w:val="24"/>
                <w:szCs w:val="24"/>
              </w:rPr>
              <w:t>GMP</w:t>
            </w:r>
            <w:r>
              <w:rPr>
                <w:rFonts w:asciiTheme="minorEastAsia" w:hAnsiTheme="minorEastAsia" w:cs="宋体" w:hint="eastAsia"/>
                <w:kern w:val="0"/>
                <w:sz w:val="24"/>
                <w:szCs w:val="24"/>
              </w:rPr>
              <w:t>认证与检查的基本要求</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药品委托生产管理</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）委托生产的界定</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）委托生产品种限制</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kern w:val="0"/>
                <w:sz w:val="24"/>
                <w:szCs w:val="24"/>
              </w:rPr>
              <w:t>药品召回管理</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）药品召回和药品安全隐患的界定</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）药品生产、经营企业和使用单位有关药品召回的义务</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）主动召回和责令召回</w:t>
            </w:r>
          </w:p>
        </w:tc>
      </w:tr>
      <w:tr w:rsidR="009D02A4" w:rsidTr="00C75246">
        <w:trPr>
          <w:trHeight w:val="1655"/>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4</w:t>
            </w:r>
            <w:r>
              <w:rPr>
                <w:rFonts w:asciiTheme="minorEastAsia" w:hAnsiTheme="minorEastAsia" w:cs="宋体" w:hint="eastAsia"/>
                <w:kern w:val="0"/>
                <w:sz w:val="24"/>
                <w:szCs w:val="24"/>
              </w:rPr>
              <w:t>）药品召回的监督管理</w:t>
            </w:r>
          </w:p>
        </w:tc>
      </w:tr>
      <w:tr w:rsidR="009D02A4">
        <w:trPr>
          <w:trHeight w:val="540"/>
          <w:jc w:val="center"/>
        </w:trPr>
        <w:tc>
          <w:tcPr>
            <w:tcW w:w="980" w:type="dxa"/>
            <w:vMerge w:val="restart"/>
            <w:tcBorders>
              <w:top w:val="nil"/>
              <w:left w:val="single" w:sz="4" w:space="0" w:color="auto"/>
              <w:bottom w:val="single" w:sz="4" w:space="0" w:color="000000"/>
              <w:right w:val="single" w:sz="4" w:space="0" w:color="auto"/>
            </w:tcBorders>
            <w:shd w:val="clear" w:color="auto" w:fill="auto"/>
            <w:textDirection w:val="tbRlV"/>
            <w:vAlign w:val="center"/>
          </w:tcPr>
          <w:p w:rsidR="009D02A4" w:rsidRDefault="00C75246">
            <w:pPr>
              <w:widowControl/>
              <w:ind w:left="0" w:firstLineChars="0" w:firstLine="0"/>
              <w:jc w:val="center"/>
              <w:rPr>
                <w:rFonts w:asciiTheme="minorEastAsia" w:hAnsiTheme="minorEastAsia" w:cs="宋体"/>
                <w:kern w:val="0"/>
                <w:sz w:val="24"/>
                <w:szCs w:val="24"/>
              </w:rPr>
            </w:pPr>
            <w:r>
              <w:rPr>
                <w:rFonts w:asciiTheme="minorEastAsia" w:hAnsiTheme="minorEastAsia" w:cs="宋体" w:hint="eastAsia"/>
                <w:kern w:val="0"/>
                <w:sz w:val="24"/>
                <w:szCs w:val="24"/>
              </w:rPr>
              <w:t>五、药品经</w:t>
            </w:r>
            <w:r w:rsidR="00A05A33">
              <w:rPr>
                <w:rFonts w:asciiTheme="minorEastAsia" w:hAnsiTheme="minorEastAsia" w:cs="宋体" w:hint="eastAsia"/>
                <w:kern w:val="0"/>
                <w:sz w:val="24"/>
                <w:szCs w:val="24"/>
              </w:rPr>
              <w:t>营与使用管理</w:t>
            </w:r>
          </w:p>
        </w:tc>
        <w:tc>
          <w:tcPr>
            <w:tcW w:w="2010"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一）药品经营管理</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药品经营许可</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）药品经营（批发、零售）许可的申请和审批</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）药品经营许可证的管理</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药品经营质量管理规范</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）药品批发的质量管理</w:t>
            </w:r>
            <w:r>
              <w:rPr>
                <w:rFonts w:asciiTheme="minorEastAsia" w:hAnsiTheme="minorEastAsia" w:cs="宋体" w:hint="eastAsia"/>
                <w:kern w:val="0"/>
                <w:sz w:val="24"/>
                <w:szCs w:val="24"/>
              </w:rPr>
              <w:t xml:space="preserve"> </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）药品零售的质量管理</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w:t>
            </w:r>
            <w:r>
              <w:rPr>
                <w:rFonts w:asciiTheme="minorEastAsia" w:hAnsiTheme="minorEastAsia" w:cs="宋体" w:hint="eastAsia"/>
                <w:kern w:val="0"/>
                <w:sz w:val="24"/>
                <w:szCs w:val="24"/>
              </w:rPr>
              <w:t>GSP</w:t>
            </w:r>
            <w:r>
              <w:rPr>
                <w:rFonts w:asciiTheme="minorEastAsia" w:hAnsiTheme="minorEastAsia" w:cs="宋体" w:hint="eastAsia"/>
                <w:kern w:val="0"/>
                <w:sz w:val="24"/>
                <w:szCs w:val="24"/>
              </w:rPr>
              <w:t>认证与检查的基本内容和要求</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药品购销管理</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）禁止无证经营、禁止销售假劣药和其他不得从事的经营活动</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）购销药品应遵守的规定和要求</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）购销人员的管理</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4</w:t>
            </w:r>
            <w:r>
              <w:rPr>
                <w:rFonts w:asciiTheme="minorEastAsia" w:hAnsiTheme="minorEastAsia" w:cs="宋体" w:hint="eastAsia"/>
                <w:kern w:val="0"/>
                <w:sz w:val="24"/>
                <w:szCs w:val="24"/>
              </w:rPr>
              <w:t>）购销记录、销售凭证的管理</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kern w:val="0"/>
                <w:sz w:val="24"/>
                <w:szCs w:val="24"/>
              </w:rPr>
              <w:t>互联网药品经营管理</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）从事互联网药品信息服务的资格、申请与审批、监督管理</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）互联网药品交易服务的类型</w:t>
            </w:r>
            <w:r>
              <w:rPr>
                <w:rFonts w:asciiTheme="minorEastAsia" w:hAnsiTheme="minorEastAsia" w:cs="宋体" w:hint="eastAsia"/>
                <w:kern w:val="0"/>
                <w:sz w:val="24"/>
                <w:szCs w:val="24"/>
              </w:rPr>
              <w:t xml:space="preserve"> </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）从事互联网药品交易服务的主体资格、申请与审批、监督管理</w:t>
            </w:r>
          </w:p>
        </w:tc>
      </w:tr>
      <w:tr w:rsidR="00C75246" w:rsidTr="00032D02">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010" w:type="dxa"/>
            <w:vMerge w:val="restart"/>
            <w:tcBorders>
              <w:top w:val="nil"/>
              <w:left w:val="single" w:sz="4" w:space="0" w:color="auto"/>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(二）药品使用管理</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1.医疗机构药事管理</w:t>
            </w:r>
          </w:p>
        </w:tc>
        <w:tc>
          <w:tcPr>
            <w:tcW w:w="4004" w:type="dxa"/>
            <w:tcBorders>
              <w:top w:val="nil"/>
              <w:left w:val="nil"/>
              <w:bottom w:val="single" w:sz="4" w:space="0" w:color="auto"/>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（1）医疗机构药事管理主要内容</w:t>
            </w:r>
          </w:p>
        </w:tc>
      </w:tr>
      <w:tr w:rsidR="00C75246" w:rsidTr="00032D02">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（2）药事管理组织和药学部门</w:t>
            </w:r>
          </w:p>
        </w:tc>
      </w:tr>
      <w:tr w:rsidR="00C75246" w:rsidTr="00032D02">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2.药品釆购与库存管理</w:t>
            </w:r>
          </w:p>
        </w:tc>
        <w:tc>
          <w:tcPr>
            <w:tcW w:w="4004" w:type="dxa"/>
            <w:tcBorders>
              <w:top w:val="nil"/>
              <w:left w:val="nil"/>
              <w:bottom w:val="single" w:sz="4" w:space="0" w:color="auto"/>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（1）药品釆</w:t>
            </w:r>
            <w:proofErr w:type="gramStart"/>
            <w:r>
              <w:rPr>
                <w:rFonts w:asciiTheme="minorEastAsia" w:hAnsiTheme="minorEastAsia" w:cs="宋体" w:hint="eastAsia"/>
                <w:kern w:val="0"/>
                <w:sz w:val="24"/>
                <w:szCs w:val="24"/>
              </w:rPr>
              <w:t>购规定</w:t>
            </w:r>
            <w:proofErr w:type="gramEnd"/>
          </w:p>
        </w:tc>
      </w:tr>
      <w:tr w:rsidR="00C75246" w:rsidTr="00032D02">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（2）药品进货检查验收制度和购进（验收）记录管理</w:t>
            </w:r>
          </w:p>
        </w:tc>
      </w:tr>
      <w:tr w:rsidR="00C75246" w:rsidTr="00032D02">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（3）药品库存管理和保管、养护规定</w:t>
            </w:r>
          </w:p>
        </w:tc>
      </w:tr>
      <w:tr w:rsidR="00C75246" w:rsidTr="00032D02">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3.处方与调配管理</w:t>
            </w:r>
          </w:p>
        </w:tc>
        <w:tc>
          <w:tcPr>
            <w:tcW w:w="4004" w:type="dxa"/>
            <w:tcBorders>
              <w:top w:val="nil"/>
              <w:left w:val="nil"/>
              <w:bottom w:val="single" w:sz="4" w:space="0" w:color="auto"/>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（1）处方和处方管理</w:t>
            </w:r>
          </w:p>
        </w:tc>
      </w:tr>
      <w:tr w:rsidR="00C75246" w:rsidTr="00032D02">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（2）处方开具、调剂和审核</w:t>
            </w:r>
          </w:p>
        </w:tc>
      </w:tr>
      <w:tr w:rsidR="00C75246" w:rsidTr="00032D02">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（3）处方点评制度</w:t>
            </w:r>
          </w:p>
        </w:tc>
      </w:tr>
      <w:tr w:rsidR="00C75246" w:rsidTr="00032D02">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（4）不得从事处方调剂工作的规定 </w:t>
            </w:r>
          </w:p>
        </w:tc>
      </w:tr>
      <w:tr w:rsidR="00C75246" w:rsidTr="00032D02">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（5）处方保存期限及销毁程序 </w:t>
            </w:r>
          </w:p>
        </w:tc>
      </w:tr>
      <w:tr w:rsidR="00C75246" w:rsidTr="00032D02">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（6）麻醉药品、精神药品专册登记的规定</w:t>
            </w:r>
          </w:p>
        </w:tc>
      </w:tr>
      <w:tr w:rsidR="00C75246" w:rsidTr="00032D02">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（7）违反处方管理和调剂要求的法律责任</w:t>
            </w:r>
          </w:p>
        </w:tc>
      </w:tr>
      <w:tr w:rsidR="00C75246" w:rsidTr="00032D02">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4.医疗机构制剂管理</w:t>
            </w:r>
          </w:p>
        </w:tc>
        <w:tc>
          <w:tcPr>
            <w:tcW w:w="4004" w:type="dxa"/>
            <w:tcBorders>
              <w:top w:val="nil"/>
              <w:left w:val="nil"/>
              <w:bottom w:val="single" w:sz="4" w:space="0" w:color="auto"/>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（1）医疗机构制剂与许可证管理</w:t>
            </w:r>
          </w:p>
        </w:tc>
      </w:tr>
      <w:tr w:rsidR="00C75246" w:rsidTr="00032D02">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（2）医疗机构自配制</w:t>
            </w:r>
            <w:proofErr w:type="gramStart"/>
            <w:r>
              <w:rPr>
                <w:rFonts w:asciiTheme="minorEastAsia" w:hAnsiTheme="minorEastAsia" w:cs="宋体" w:hint="eastAsia"/>
                <w:kern w:val="0"/>
                <w:sz w:val="24"/>
                <w:szCs w:val="24"/>
              </w:rPr>
              <w:t>剂注册</w:t>
            </w:r>
            <w:proofErr w:type="gramEnd"/>
            <w:r>
              <w:rPr>
                <w:rFonts w:asciiTheme="minorEastAsia" w:hAnsiTheme="minorEastAsia" w:cs="宋体" w:hint="eastAsia"/>
                <w:kern w:val="0"/>
                <w:sz w:val="24"/>
                <w:szCs w:val="24"/>
              </w:rPr>
              <w:t>和品种范围</w:t>
            </w:r>
          </w:p>
        </w:tc>
      </w:tr>
      <w:tr w:rsidR="00C75246" w:rsidTr="00032D02">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（3）医疗机构制剂注册批件及批准文号格式</w:t>
            </w:r>
          </w:p>
        </w:tc>
      </w:tr>
      <w:tr w:rsidR="00C75246" w:rsidTr="00032D02">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（4）医疗机构制剂的调剂使用</w:t>
            </w:r>
          </w:p>
        </w:tc>
      </w:tr>
      <w:tr w:rsidR="00C75246" w:rsidTr="00032D02">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835" w:type="dxa"/>
            <w:vMerge w:val="restart"/>
            <w:tcBorders>
              <w:top w:val="nil"/>
              <w:left w:val="single" w:sz="4" w:space="0" w:color="auto"/>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5.药物临床应用管理</w:t>
            </w:r>
          </w:p>
        </w:tc>
        <w:tc>
          <w:tcPr>
            <w:tcW w:w="4004" w:type="dxa"/>
            <w:tcBorders>
              <w:top w:val="nil"/>
              <w:left w:val="nil"/>
              <w:bottom w:val="single" w:sz="4" w:space="0" w:color="auto"/>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（1）合理用药的原则</w:t>
            </w:r>
          </w:p>
        </w:tc>
      </w:tr>
      <w:tr w:rsidR="00C75246" w:rsidTr="00032D02">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835" w:type="dxa"/>
            <w:vMerge/>
            <w:tcBorders>
              <w:left w:val="single" w:sz="4" w:space="0" w:color="auto"/>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（2）药物临床应用管理的具体规定</w:t>
            </w:r>
          </w:p>
        </w:tc>
      </w:tr>
      <w:tr w:rsidR="00C75246" w:rsidTr="00032D02">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835" w:type="dxa"/>
            <w:vMerge/>
            <w:tcBorders>
              <w:left w:val="single" w:sz="4" w:space="0" w:color="auto"/>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（3）抗菌药物分级管理</w:t>
            </w:r>
          </w:p>
        </w:tc>
      </w:tr>
      <w:tr w:rsidR="00C75246" w:rsidTr="00032D02">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835" w:type="dxa"/>
            <w:vMerge/>
            <w:tcBorders>
              <w:left w:val="single" w:sz="4" w:space="0" w:color="auto"/>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（4）抗菌药物的购进、使用及定期评估</w:t>
            </w:r>
          </w:p>
        </w:tc>
      </w:tr>
      <w:tr w:rsidR="00C75246" w:rsidTr="00032D02">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835" w:type="dxa"/>
            <w:vMerge/>
            <w:tcBorders>
              <w:left w:val="single" w:sz="4" w:space="0" w:color="auto"/>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（5）抗菌药物处方权、调剂资格授予和监督管理</w:t>
            </w:r>
          </w:p>
        </w:tc>
      </w:tr>
      <w:tr w:rsidR="00C75246" w:rsidTr="00032D02">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835" w:type="dxa"/>
            <w:vMerge/>
            <w:tcBorders>
              <w:left w:val="single" w:sz="4" w:space="0" w:color="auto"/>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（6）抗菌药物临床应用监测、细菌耐药监测和合理使用</w:t>
            </w:r>
          </w:p>
        </w:tc>
      </w:tr>
      <w:tr w:rsidR="00C75246" w:rsidTr="00032D02">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835" w:type="dxa"/>
            <w:vMerge/>
            <w:tcBorders>
              <w:left w:val="single" w:sz="4" w:space="0" w:color="auto"/>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（7）抗菌药物临床应用异常情况及处理</w:t>
            </w:r>
          </w:p>
        </w:tc>
      </w:tr>
      <w:tr w:rsidR="00C75246" w:rsidTr="00032D02">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835" w:type="dxa"/>
            <w:vMerge/>
            <w:tcBorders>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hint="eastAsia"/>
                <w:kern w:val="0"/>
                <w:sz w:val="24"/>
                <w:szCs w:val="24"/>
              </w:rPr>
            </w:pPr>
            <w:r w:rsidRPr="00C75246">
              <w:rPr>
                <w:rFonts w:asciiTheme="minorEastAsia" w:hAnsiTheme="minorEastAsia" w:cs="宋体" w:hint="eastAsia"/>
                <w:kern w:val="0"/>
                <w:sz w:val="24"/>
                <w:szCs w:val="24"/>
              </w:rPr>
              <w:t>（8）辅助用药临床应用管理</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三）药品分类管理</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药品分类管理制度的建立</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）药品分类管理的目的</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）执业药师、监管部门在分类管理中的职责</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非处方药和处方药分类管理的实施</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）非处方药、处方药、“双跨”药品的界定和依据</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）非处方药的分类和专有标识的管理</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）非处方药的管理要求</w:t>
            </w:r>
            <w:r>
              <w:rPr>
                <w:rFonts w:asciiTheme="minorEastAsia" w:hAnsiTheme="minorEastAsia" w:cs="宋体" w:hint="eastAsia"/>
                <w:kern w:val="0"/>
                <w:sz w:val="24"/>
                <w:szCs w:val="24"/>
              </w:rPr>
              <w:t xml:space="preserve"> </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4</w:t>
            </w:r>
            <w:r>
              <w:rPr>
                <w:rFonts w:asciiTheme="minorEastAsia" w:hAnsiTheme="minorEastAsia" w:cs="宋体" w:hint="eastAsia"/>
                <w:kern w:val="0"/>
                <w:sz w:val="24"/>
                <w:szCs w:val="24"/>
              </w:rPr>
              <w:t>）处方药的管理要求</w:t>
            </w:r>
            <w:r>
              <w:rPr>
                <w:rFonts w:asciiTheme="minorEastAsia" w:hAnsiTheme="minorEastAsia" w:cs="宋体" w:hint="eastAsia"/>
                <w:kern w:val="0"/>
                <w:sz w:val="24"/>
                <w:szCs w:val="24"/>
              </w:rPr>
              <w:t xml:space="preserve"> </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5</w:t>
            </w:r>
            <w:r>
              <w:rPr>
                <w:rFonts w:asciiTheme="minorEastAsia" w:hAnsiTheme="minorEastAsia" w:cs="宋体" w:hint="eastAsia"/>
                <w:kern w:val="0"/>
                <w:sz w:val="24"/>
                <w:szCs w:val="24"/>
              </w:rPr>
              <w:t>）“双跨”药品的管理要求</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非处方药目录遴选和转换评价</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）非处方药目录及目录的遴选、审批和发布</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）处方药与非处方药的转换评价</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kern w:val="0"/>
                <w:sz w:val="24"/>
                <w:szCs w:val="24"/>
              </w:rPr>
              <w:t>处方药与非处方药的流通管理</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）生产、批发企业销售处方药与非处方药的要求</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）零售药店销售处方药与非处方药的要求</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）零售药店不得经营的药品种类</w:t>
            </w:r>
            <w:r>
              <w:rPr>
                <w:rFonts w:asciiTheme="minorEastAsia" w:hAnsiTheme="minorEastAsia" w:cs="宋体" w:hint="eastAsia"/>
                <w:kern w:val="0"/>
                <w:sz w:val="24"/>
                <w:szCs w:val="24"/>
              </w:rPr>
              <w:t xml:space="preserve"> </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4</w:t>
            </w:r>
            <w:r>
              <w:rPr>
                <w:rFonts w:asciiTheme="minorEastAsia" w:hAnsiTheme="minorEastAsia" w:cs="宋体" w:hint="eastAsia"/>
                <w:kern w:val="0"/>
                <w:sz w:val="24"/>
                <w:szCs w:val="24"/>
              </w:rPr>
              <w:t>）零售药店必须凭处方销售的药品种类</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四）医疗保障用药管理</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基本医疗保险体系</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）我国基本医疗保险体系的构成</w:t>
            </w:r>
          </w:p>
        </w:tc>
      </w:tr>
      <w:tr w:rsidR="009D02A4">
        <w:trPr>
          <w:trHeight w:val="81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）城镇职工基本医疗保险的覆盖范围、统筹层次和缴费办法、统筹基金和个人账户、定点管理</w:t>
            </w:r>
          </w:p>
        </w:tc>
      </w:tr>
      <w:tr w:rsidR="009D02A4">
        <w:trPr>
          <w:trHeight w:val="81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）城镇居民基本医疗保险的参保范围、筹资水平、缴费和补助、费用支付、定点管理</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4</w:t>
            </w:r>
            <w:r>
              <w:rPr>
                <w:rFonts w:asciiTheme="minorEastAsia" w:hAnsiTheme="minorEastAsia" w:cs="宋体" w:hint="eastAsia"/>
                <w:kern w:val="0"/>
                <w:sz w:val="24"/>
                <w:szCs w:val="24"/>
              </w:rPr>
              <w:t>）新型农村合作医疗的覆盖范围和统筹层次、筹资标准</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基本医疗保险药品目</w:t>
            </w:r>
            <w:r>
              <w:rPr>
                <w:rFonts w:asciiTheme="minorEastAsia" w:hAnsiTheme="minorEastAsia" w:cs="宋体" w:hint="eastAsia"/>
                <w:kern w:val="0"/>
                <w:sz w:val="24"/>
                <w:szCs w:val="24"/>
              </w:rPr>
              <w:lastRenderedPageBreak/>
              <w:t>录</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w:t>
            </w:r>
            <w:proofErr w:type="gramStart"/>
            <w:r>
              <w:rPr>
                <w:rFonts w:asciiTheme="minorEastAsia" w:hAnsiTheme="minorEastAsia" w:cs="宋体" w:hint="eastAsia"/>
                <w:kern w:val="0"/>
                <w:sz w:val="24"/>
                <w:szCs w:val="24"/>
              </w:rPr>
              <w:t>医</w:t>
            </w:r>
            <w:proofErr w:type="gramEnd"/>
            <w:r>
              <w:rPr>
                <w:rFonts w:asciiTheme="minorEastAsia" w:hAnsiTheme="minorEastAsia" w:cs="宋体" w:hint="eastAsia"/>
                <w:kern w:val="0"/>
                <w:sz w:val="24"/>
                <w:szCs w:val="24"/>
              </w:rPr>
              <w:t>保药品目录的确定原则和条</w:t>
            </w:r>
            <w:r>
              <w:rPr>
                <w:rFonts w:asciiTheme="minorEastAsia" w:hAnsiTheme="minorEastAsia" w:cs="宋体" w:hint="eastAsia"/>
                <w:kern w:val="0"/>
                <w:sz w:val="24"/>
                <w:szCs w:val="24"/>
              </w:rPr>
              <w:lastRenderedPageBreak/>
              <w:t>件</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）不得纳入基本医疗保险用药范围的药品</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w:t>
            </w:r>
            <w:proofErr w:type="gramStart"/>
            <w:r>
              <w:rPr>
                <w:rFonts w:asciiTheme="minorEastAsia" w:hAnsiTheme="minorEastAsia" w:cs="宋体" w:hint="eastAsia"/>
                <w:kern w:val="0"/>
                <w:sz w:val="24"/>
                <w:szCs w:val="24"/>
              </w:rPr>
              <w:t>医</w:t>
            </w:r>
            <w:proofErr w:type="gramEnd"/>
            <w:r>
              <w:rPr>
                <w:rFonts w:asciiTheme="minorEastAsia" w:hAnsiTheme="minorEastAsia" w:cs="宋体" w:hint="eastAsia"/>
                <w:kern w:val="0"/>
                <w:sz w:val="24"/>
                <w:szCs w:val="24"/>
              </w:rPr>
              <w:t>保药品目录的分类、制定与调整</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4</w:t>
            </w:r>
            <w:r>
              <w:rPr>
                <w:rFonts w:asciiTheme="minorEastAsia" w:hAnsiTheme="minorEastAsia" w:cs="宋体" w:hint="eastAsia"/>
                <w:kern w:val="0"/>
                <w:sz w:val="24"/>
                <w:szCs w:val="24"/>
              </w:rPr>
              <w:t>）</w:t>
            </w:r>
            <w:proofErr w:type="gramStart"/>
            <w:r>
              <w:rPr>
                <w:rFonts w:asciiTheme="minorEastAsia" w:hAnsiTheme="minorEastAsia" w:cs="宋体" w:hint="eastAsia"/>
                <w:kern w:val="0"/>
                <w:sz w:val="24"/>
                <w:szCs w:val="24"/>
              </w:rPr>
              <w:t>医</w:t>
            </w:r>
            <w:proofErr w:type="gramEnd"/>
            <w:r>
              <w:rPr>
                <w:rFonts w:asciiTheme="minorEastAsia" w:hAnsiTheme="minorEastAsia" w:cs="宋体" w:hint="eastAsia"/>
                <w:kern w:val="0"/>
                <w:sz w:val="24"/>
                <w:szCs w:val="24"/>
              </w:rPr>
              <w:t>保药品使用的费用支付原则</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5</w:t>
            </w:r>
            <w:r>
              <w:rPr>
                <w:rFonts w:asciiTheme="minorEastAsia" w:hAnsiTheme="minorEastAsia" w:cs="宋体" w:hint="eastAsia"/>
                <w:kern w:val="0"/>
                <w:sz w:val="24"/>
                <w:szCs w:val="24"/>
              </w:rPr>
              <w:t>）对定点医疗机构和零售药店使用</w:t>
            </w:r>
            <w:proofErr w:type="gramStart"/>
            <w:r>
              <w:rPr>
                <w:rFonts w:asciiTheme="minorEastAsia" w:hAnsiTheme="minorEastAsia" w:cs="宋体" w:hint="eastAsia"/>
                <w:kern w:val="0"/>
                <w:sz w:val="24"/>
                <w:szCs w:val="24"/>
              </w:rPr>
              <w:t>医</w:t>
            </w:r>
            <w:proofErr w:type="gramEnd"/>
            <w:r>
              <w:rPr>
                <w:rFonts w:asciiTheme="minorEastAsia" w:hAnsiTheme="minorEastAsia" w:cs="宋体" w:hint="eastAsia"/>
                <w:kern w:val="0"/>
                <w:sz w:val="24"/>
                <w:szCs w:val="24"/>
              </w:rPr>
              <w:t>保药品目录的管理要求</w:t>
            </w:r>
          </w:p>
        </w:tc>
      </w:tr>
      <w:tr w:rsidR="009D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4"/>
          <w:jc w:val="center"/>
        </w:trPr>
        <w:tc>
          <w:tcPr>
            <w:tcW w:w="980" w:type="dxa"/>
            <w:vMerge/>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基本医疗保险定点医药机构协议管理</w:t>
            </w:r>
          </w:p>
        </w:tc>
        <w:tc>
          <w:tcPr>
            <w:tcW w:w="4004" w:type="dxa"/>
            <w:shd w:val="clear" w:color="auto" w:fill="auto"/>
            <w:vAlign w:val="center"/>
          </w:tcPr>
          <w:p w:rsidR="009D02A4" w:rsidRDefault="00A05A33">
            <w:pPr>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医药机构协议管理的具体政策和要求</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五）药品不良反应报告与监测管理</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药品不良反应的界定和分类</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）药品不良反应及相关术语的界定和区分</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）药品不良反应的分类</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药品不良反应报告和处置</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）药品不良反应报告主体、报告范围、监督主体</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w:t>
            </w:r>
            <w:proofErr w:type="gramStart"/>
            <w:r>
              <w:rPr>
                <w:rFonts w:asciiTheme="minorEastAsia" w:hAnsiTheme="minorEastAsia" w:cs="宋体" w:hint="eastAsia"/>
                <w:kern w:val="0"/>
                <w:sz w:val="24"/>
                <w:szCs w:val="24"/>
              </w:rPr>
              <w:t>个</w:t>
            </w:r>
            <w:proofErr w:type="gramEnd"/>
            <w:r>
              <w:rPr>
                <w:rFonts w:asciiTheme="minorEastAsia" w:hAnsiTheme="minorEastAsia" w:cs="宋体" w:hint="eastAsia"/>
                <w:kern w:val="0"/>
                <w:sz w:val="24"/>
                <w:szCs w:val="24"/>
              </w:rPr>
              <w:t>例药品不良反应的报告和处置</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）药品群体不良事件的报告和处置</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4</w:t>
            </w:r>
            <w:r>
              <w:rPr>
                <w:rFonts w:asciiTheme="minorEastAsia" w:hAnsiTheme="minorEastAsia" w:cs="宋体" w:hint="eastAsia"/>
                <w:kern w:val="0"/>
                <w:sz w:val="24"/>
                <w:szCs w:val="24"/>
              </w:rPr>
              <w:t>）境外发生的严重药品不良反应的报告和处置</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5</w:t>
            </w:r>
            <w:r>
              <w:rPr>
                <w:rFonts w:asciiTheme="minorEastAsia" w:hAnsiTheme="minorEastAsia" w:cs="宋体" w:hint="eastAsia"/>
                <w:kern w:val="0"/>
                <w:sz w:val="24"/>
                <w:szCs w:val="24"/>
              </w:rPr>
              <w:t>）定期安全性更新报告</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药品重点监测</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药品重点监测的范围和要求</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kern w:val="0"/>
                <w:sz w:val="24"/>
                <w:szCs w:val="24"/>
              </w:rPr>
              <w:t>药品不良反应评价与控制</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）药品生产企业对药品不良反应的评价与控制</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）药品不良反应监测机构对药品不良反应的评价与控制</w:t>
            </w:r>
          </w:p>
        </w:tc>
      </w:tr>
      <w:tr w:rsidR="009D02A4">
        <w:trPr>
          <w:trHeight w:val="270"/>
          <w:jc w:val="center"/>
        </w:trPr>
        <w:tc>
          <w:tcPr>
            <w:tcW w:w="980" w:type="dxa"/>
            <w:vMerge w:val="restart"/>
            <w:tcBorders>
              <w:top w:val="nil"/>
              <w:left w:val="single" w:sz="4" w:space="0" w:color="auto"/>
              <w:bottom w:val="single" w:sz="4" w:space="0" w:color="000000"/>
              <w:right w:val="single" w:sz="4" w:space="0" w:color="auto"/>
            </w:tcBorders>
            <w:shd w:val="clear" w:color="auto" w:fill="auto"/>
            <w:textDirection w:val="tbRlV"/>
            <w:vAlign w:val="center"/>
          </w:tcPr>
          <w:p w:rsidR="009D02A4" w:rsidRDefault="00A05A33">
            <w:pPr>
              <w:widowControl/>
              <w:ind w:left="0" w:firstLineChars="0" w:firstLine="0"/>
              <w:jc w:val="center"/>
              <w:rPr>
                <w:rFonts w:asciiTheme="minorEastAsia" w:hAnsiTheme="minorEastAsia" w:cs="宋体"/>
                <w:kern w:val="0"/>
                <w:sz w:val="24"/>
                <w:szCs w:val="24"/>
              </w:rPr>
            </w:pPr>
            <w:r>
              <w:rPr>
                <w:rFonts w:asciiTheme="minorEastAsia" w:hAnsiTheme="minorEastAsia" w:cs="宋体" w:hint="eastAsia"/>
                <w:kern w:val="0"/>
                <w:sz w:val="24"/>
                <w:szCs w:val="24"/>
              </w:rPr>
              <w:t>六</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中药管理</w:t>
            </w:r>
          </w:p>
        </w:tc>
        <w:tc>
          <w:tcPr>
            <w:tcW w:w="2010"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一）中药与中药创新发展</w:t>
            </w:r>
          </w:p>
        </w:tc>
        <w:tc>
          <w:tcPr>
            <w:tcW w:w="2835"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中药的分类</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中药材、中药饮片、中成药</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中医药立法</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）符合中医药特点的管理制度和发展方针</w:t>
            </w:r>
          </w:p>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）《中医药法》对中药保护、发展和中医药传承的规定</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中药创新体系建设</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中医药创新发展规划纲要的主要内容</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（二）中药材管理</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中药材的生产、经营和使用规定</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）中药材种植养殖管理</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）中药材产地初加工管理</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）中药材自种、自釆、自用的管理要求</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中药材生产质量管理</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规范</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GAP</w:t>
            </w:r>
            <w:r>
              <w:rPr>
                <w:rFonts w:asciiTheme="minorEastAsia" w:hAnsiTheme="minorEastAsia" w:cs="宋体" w:hint="eastAsia"/>
                <w:kern w:val="0"/>
                <w:sz w:val="24"/>
                <w:szCs w:val="24"/>
              </w:rPr>
              <w:t>的基本要求和实施</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专业市场管理</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）进入中药材专业市场经营中药材者应具备的条件</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）中药材专业市场管理的措施</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kern w:val="0"/>
                <w:sz w:val="24"/>
                <w:szCs w:val="24"/>
              </w:rPr>
              <w:t>进口药材规定</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）进口药材的申请与审批</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）进口药材批件</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hint="eastAsia"/>
                <w:kern w:val="0"/>
                <w:sz w:val="24"/>
                <w:szCs w:val="24"/>
              </w:rPr>
              <w:t>野生药材资源保护</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）国家重点保护野生药材物种的分级</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）国家重点保护野生药材釆</w:t>
            </w:r>
            <w:proofErr w:type="gramStart"/>
            <w:r>
              <w:rPr>
                <w:rFonts w:asciiTheme="minorEastAsia" w:hAnsiTheme="minorEastAsia" w:cs="宋体" w:hint="eastAsia"/>
                <w:kern w:val="0"/>
                <w:sz w:val="24"/>
                <w:szCs w:val="24"/>
              </w:rPr>
              <w:t>猎管理</w:t>
            </w:r>
            <w:proofErr w:type="gramEnd"/>
            <w:r>
              <w:rPr>
                <w:rFonts w:asciiTheme="minorEastAsia" w:hAnsiTheme="minorEastAsia" w:cs="宋体" w:hint="eastAsia"/>
                <w:kern w:val="0"/>
                <w:sz w:val="24"/>
                <w:szCs w:val="24"/>
              </w:rPr>
              <w:t>要求</w:t>
            </w:r>
            <w:r>
              <w:rPr>
                <w:rFonts w:asciiTheme="minorEastAsia" w:hAnsiTheme="minorEastAsia" w:cs="宋体" w:hint="eastAsia"/>
                <w:kern w:val="0"/>
                <w:sz w:val="24"/>
                <w:szCs w:val="24"/>
              </w:rPr>
              <w:t xml:space="preserve"> </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）国家重点保护野生药材的出口管理</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4</w:t>
            </w:r>
            <w:r>
              <w:rPr>
                <w:rFonts w:asciiTheme="minorEastAsia" w:hAnsiTheme="minorEastAsia" w:cs="宋体" w:hint="eastAsia"/>
                <w:kern w:val="0"/>
                <w:sz w:val="24"/>
                <w:szCs w:val="24"/>
              </w:rPr>
              <w:t>）国家重点保护的野生药材名录</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三）中药饮片管理</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生产、经营管理</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）中药饮片生产经营行为监管</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）毒性中药饮片定点生产和经营管理的规定</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医疗机构中药饮片的管理</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中药饮片管理要求</w:t>
            </w:r>
          </w:p>
        </w:tc>
      </w:tr>
      <w:tr w:rsidR="00C75246">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010" w:type="dxa"/>
            <w:vMerge w:val="restart"/>
            <w:tcBorders>
              <w:top w:val="nil"/>
              <w:left w:val="single" w:sz="4" w:space="0" w:color="auto"/>
              <w:right w:val="single" w:sz="4" w:space="0" w:color="auto"/>
            </w:tcBorders>
            <w:shd w:val="clear" w:color="auto" w:fill="auto"/>
            <w:vAlign w:val="center"/>
          </w:tcPr>
          <w:p w:rsidR="00C75246" w:rsidRDefault="00C75246">
            <w:pPr>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(四）</w:t>
            </w:r>
            <w:r w:rsidRPr="00C75246">
              <w:rPr>
                <w:rFonts w:asciiTheme="minorEastAsia" w:hAnsiTheme="minorEastAsia" w:cs="宋体" w:hint="eastAsia"/>
                <w:kern w:val="0"/>
                <w:sz w:val="24"/>
                <w:szCs w:val="24"/>
              </w:rPr>
              <w:t>中成药与医疗机构中药制剂管理</w:t>
            </w:r>
          </w:p>
        </w:tc>
        <w:tc>
          <w:tcPr>
            <w:tcW w:w="2835" w:type="dxa"/>
            <w:tcBorders>
              <w:top w:val="nil"/>
              <w:left w:val="single" w:sz="4" w:space="0" w:color="auto"/>
              <w:bottom w:val="single" w:sz="4" w:space="0" w:color="000000"/>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1.中成药通用名称命名</w:t>
            </w:r>
          </w:p>
        </w:tc>
        <w:tc>
          <w:tcPr>
            <w:tcW w:w="4004" w:type="dxa"/>
            <w:tcBorders>
              <w:top w:val="nil"/>
              <w:left w:val="nil"/>
              <w:bottom w:val="single" w:sz="4" w:space="0" w:color="auto"/>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（1）中成药通用名称命名基本原则</w:t>
            </w:r>
          </w:p>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（2）已上市中成药通用名称命名规范</w:t>
            </w:r>
          </w:p>
        </w:tc>
      </w:tr>
      <w:tr w:rsidR="00C75246">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2.中药品种保护</w:t>
            </w:r>
          </w:p>
        </w:tc>
        <w:tc>
          <w:tcPr>
            <w:tcW w:w="4004" w:type="dxa"/>
            <w:tcBorders>
              <w:top w:val="nil"/>
              <w:left w:val="nil"/>
              <w:bottom w:val="single" w:sz="4" w:space="0" w:color="auto"/>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（1）中药品种保护的目的和意义</w:t>
            </w:r>
          </w:p>
        </w:tc>
      </w:tr>
      <w:tr w:rsidR="00C75246">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（2）《中药品种保护条例》的适用范围</w:t>
            </w:r>
          </w:p>
        </w:tc>
      </w:tr>
      <w:tr w:rsidR="00C75246">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（3）中药保护品种的范围和等级划分</w:t>
            </w:r>
          </w:p>
        </w:tc>
      </w:tr>
      <w:tr w:rsidR="00C75246" w:rsidTr="00F16E7D">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（4）中药保护品种的保护措施</w:t>
            </w:r>
          </w:p>
        </w:tc>
      </w:tr>
      <w:tr w:rsidR="00C75246" w:rsidTr="00F16E7D">
        <w:trPr>
          <w:trHeight w:val="270"/>
          <w:jc w:val="center"/>
        </w:trPr>
        <w:tc>
          <w:tcPr>
            <w:tcW w:w="980" w:type="dxa"/>
            <w:tcBorders>
              <w:top w:val="nil"/>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p>
        </w:tc>
        <w:tc>
          <w:tcPr>
            <w:tcW w:w="2835" w:type="dxa"/>
            <w:tcBorders>
              <w:top w:val="nil"/>
              <w:left w:val="single" w:sz="4" w:space="0" w:color="auto"/>
              <w:bottom w:val="single" w:sz="4" w:space="0" w:color="000000"/>
              <w:right w:val="single" w:sz="4" w:space="0" w:color="auto"/>
            </w:tcBorders>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3.</w:t>
            </w:r>
            <w:r>
              <w:rPr>
                <w:rFonts w:hint="eastAsia"/>
              </w:rPr>
              <w:t xml:space="preserve"> </w:t>
            </w:r>
            <w:r w:rsidRPr="00C75246">
              <w:rPr>
                <w:rFonts w:asciiTheme="minorEastAsia" w:hAnsiTheme="minorEastAsia" w:cs="宋体" w:hint="eastAsia"/>
                <w:kern w:val="0"/>
                <w:sz w:val="24"/>
                <w:szCs w:val="24"/>
              </w:rPr>
              <w:t>古代经典名方中药复方制剂的管理</w:t>
            </w:r>
          </w:p>
        </w:tc>
        <w:tc>
          <w:tcPr>
            <w:tcW w:w="4004" w:type="dxa"/>
            <w:tcBorders>
              <w:top w:val="nil"/>
              <w:left w:val="nil"/>
              <w:bottom w:val="single" w:sz="4" w:space="0" w:color="auto"/>
              <w:right w:val="single" w:sz="4" w:space="0" w:color="auto"/>
            </w:tcBorders>
            <w:shd w:val="clear" w:color="auto" w:fill="auto"/>
            <w:vAlign w:val="center"/>
          </w:tcPr>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（1）</w:t>
            </w:r>
            <w:r w:rsidRPr="00C75246">
              <w:rPr>
                <w:rFonts w:asciiTheme="minorEastAsia" w:hAnsiTheme="minorEastAsia" w:cs="宋体" w:hint="eastAsia"/>
                <w:kern w:val="0"/>
                <w:sz w:val="24"/>
                <w:szCs w:val="24"/>
              </w:rPr>
              <w:t>古代经典名方目录</w:t>
            </w:r>
          </w:p>
          <w:p w:rsidR="00C75246" w:rsidRDefault="00C75246">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（2）</w:t>
            </w:r>
            <w:r w:rsidRPr="00C75246">
              <w:rPr>
                <w:rFonts w:asciiTheme="minorEastAsia" w:hAnsiTheme="minorEastAsia" w:cs="宋体" w:hint="eastAsia"/>
                <w:kern w:val="0"/>
                <w:sz w:val="24"/>
                <w:szCs w:val="24"/>
              </w:rPr>
              <w:t>古代经典名方的中药复方制剂的管理要求</w:t>
            </w:r>
          </w:p>
        </w:tc>
      </w:tr>
      <w:tr w:rsidR="009D02A4">
        <w:trPr>
          <w:trHeight w:val="540"/>
          <w:jc w:val="center"/>
        </w:trPr>
        <w:tc>
          <w:tcPr>
            <w:tcW w:w="980" w:type="dxa"/>
            <w:vMerge w:val="restart"/>
            <w:tcBorders>
              <w:top w:val="nil"/>
              <w:left w:val="single" w:sz="4" w:space="0" w:color="auto"/>
              <w:bottom w:val="single" w:sz="4" w:space="0" w:color="000000"/>
              <w:right w:val="single" w:sz="4" w:space="0" w:color="auto"/>
            </w:tcBorders>
            <w:shd w:val="clear" w:color="auto" w:fill="auto"/>
            <w:textDirection w:val="tbRlV"/>
            <w:vAlign w:val="center"/>
          </w:tcPr>
          <w:p w:rsidR="009D02A4" w:rsidRDefault="00A05A33">
            <w:pPr>
              <w:widowControl/>
              <w:ind w:left="0" w:firstLineChars="0" w:firstLine="0"/>
              <w:jc w:val="center"/>
              <w:rPr>
                <w:rFonts w:asciiTheme="minorEastAsia" w:hAnsiTheme="minorEastAsia" w:cs="宋体"/>
                <w:kern w:val="0"/>
                <w:sz w:val="24"/>
                <w:szCs w:val="24"/>
              </w:rPr>
            </w:pPr>
            <w:r>
              <w:rPr>
                <w:rFonts w:asciiTheme="minorEastAsia" w:hAnsiTheme="minorEastAsia" w:cs="宋体" w:hint="eastAsia"/>
                <w:kern w:val="0"/>
                <w:sz w:val="24"/>
                <w:szCs w:val="24"/>
              </w:rPr>
              <w:t>七</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特殊管理的药品管理</w:t>
            </w:r>
          </w:p>
        </w:tc>
        <w:tc>
          <w:tcPr>
            <w:tcW w:w="2010"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一）麻醉药品、精神药品的管理</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麻醉药品、精神药品的界定和管理部门</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）麻醉药品和精神药品的界定和专有标志</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）麻醉药品和精神药品的管理部门、职责</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麻醉药品和精神药品目录</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我国生产和使用的麻醉药品和精神药品品种</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麻醉药品和精神药品生产</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）生产总量控制</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）定点生产和渠道限制</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kern w:val="0"/>
                <w:sz w:val="24"/>
                <w:szCs w:val="24"/>
              </w:rPr>
              <w:t>麻醉药品和精神药品经营</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）定点经营企业必备条件</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）定点经营资格审批</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）购销和零售管理</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hint="eastAsia"/>
                <w:kern w:val="0"/>
                <w:sz w:val="24"/>
                <w:szCs w:val="24"/>
              </w:rPr>
              <w:t>麻醉药品和精神药品使用</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）使用审批和印鉴卡管理</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）处方资格及处方管理</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）借用和配制规定</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6.</w:t>
            </w:r>
            <w:r>
              <w:rPr>
                <w:rFonts w:asciiTheme="minorEastAsia" w:hAnsiTheme="minorEastAsia" w:cs="宋体" w:hint="eastAsia"/>
                <w:kern w:val="0"/>
                <w:sz w:val="24"/>
                <w:szCs w:val="24"/>
              </w:rPr>
              <w:t>麻醉药品和精神药品储存与运输</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）麻醉药品与第一类精神药品的储存</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）第二类精神药品的储存</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）运输和邮寄管理</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4</w:t>
            </w:r>
            <w:r>
              <w:rPr>
                <w:rFonts w:asciiTheme="minorEastAsia" w:hAnsiTheme="minorEastAsia" w:cs="宋体" w:hint="eastAsia"/>
                <w:kern w:val="0"/>
                <w:sz w:val="24"/>
                <w:szCs w:val="24"/>
              </w:rPr>
              <w:t>）企业间药品运输信息管理要求</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二）医疗用毒性药品的管理</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医疗用毒性药品的界定和品种</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）医疗用毒性药品界定和专用标志</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）医疗用毒性药品的品种</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生产、经营管理</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）生产、经营资格管理</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）毒性药品的生产管理</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）储存与运输要求</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使用管理</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）医疗机构、零售药店供应和调配规定</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）科研和教学单位所需毒性药品的调配</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规定</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三）药品类易制毒化学品管理</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药品类易制毒化学品的界定与分类</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）药品类易制毒化学品界定</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）药品类易制毒化学品品种与分类</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药品类易制毒化学品的流通与使用管理</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药品类易制毒化学品的购销要求</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四）含特殊药品的复方制剂管理</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含麻醉药品、精神药品复方制剂的管理</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）含特殊药品复方制剂的品种范围</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）含特殊药品复方制剂的经营管理</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含麻黄碱类复方制剂的管理</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）经营行为管理</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）销售管理</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五）兴奋剂的管理</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兴奋剂的界定和分类</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）兴奋剂的界定</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）兴奋剂目录和分类</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兴奋剂销售使用管理</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）含兴奋剂药品标签和说明书管理</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）蛋白同化制剂、肽类激素的销售及使用管理</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六）疫苗的管理</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疫苗的流通管理</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）界定和分类</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）疫苗流通方式改革和采购、供应、配送要求</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）疫苗全程追溯制度和全程冷链储运管理制度</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疫苗的监督管理</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发现假劣或者质量可疑的疫苗的处理措施</w:t>
            </w:r>
          </w:p>
        </w:tc>
      </w:tr>
      <w:tr w:rsidR="009D02A4">
        <w:trPr>
          <w:trHeight w:val="270"/>
          <w:jc w:val="center"/>
        </w:trPr>
        <w:tc>
          <w:tcPr>
            <w:tcW w:w="980" w:type="dxa"/>
            <w:vMerge w:val="restart"/>
            <w:tcBorders>
              <w:top w:val="nil"/>
              <w:left w:val="single" w:sz="4" w:space="0" w:color="auto"/>
              <w:bottom w:val="single" w:sz="4" w:space="0" w:color="000000"/>
              <w:right w:val="single" w:sz="4" w:space="0" w:color="auto"/>
            </w:tcBorders>
            <w:shd w:val="clear" w:color="auto" w:fill="auto"/>
            <w:textDirection w:val="tbRlV"/>
            <w:vAlign w:val="center"/>
          </w:tcPr>
          <w:p w:rsidR="009D02A4" w:rsidRDefault="00A05A33">
            <w:pPr>
              <w:widowControl/>
              <w:ind w:left="0" w:firstLineChars="0" w:firstLine="0"/>
              <w:jc w:val="center"/>
              <w:rPr>
                <w:rFonts w:asciiTheme="minorEastAsia" w:hAnsiTheme="minorEastAsia" w:cs="宋体"/>
                <w:kern w:val="0"/>
                <w:sz w:val="24"/>
                <w:szCs w:val="24"/>
              </w:rPr>
            </w:pPr>
            <w:r>
              <w:rPr>
                <w:rFonts w:asciiTheme="minorEastAsia" w:hAnsiTheme="minorEastAsia" w:cs="宋体" w:hint="eastAsia"/>
                <w:kern w:val="0"/>
                <w:sz w:val="24"/>
                <w:szCs w:val="24"/>
              </w:rPr>
              <w:t>八</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药品标准与药品质量监督检验</w:t>
            </w:r>
          </w:p>
        </w:tc>
        <w:tc>
          <w:tcPr>
            <w:tcW w:w="2010"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一）药品标准管理</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药品标准与国家药品标准</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）药品标准分类和效力</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）国家药品标准界定、类别</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）药品标准的制定原则</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二）药品说明书和标签管理</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药品说明书和标签基本要求</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）药品说明书和标签的界定和作用</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）药品说明书、标签印制和文字表述要求</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）药品名称和注册商标的标注和使用要求</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4</w:t>
            </w:r>
            <w:r>
              <w:rPr>
                <w:rFonts w:asciiTheme="minorEastAsia" w:hAnsiTheme="minorEastAsia" w:cs="宋体" w:hint="eastAsia"/>
                <w:kern w:val="0"/>
                <w:sz w:val="24"/>
                <w:szCs w:val="24"/>
              </w:rPr>
              <w:t>）外用药品的标识</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药品说明书管理规定</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）说明书的编写、修改要求</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）药品说明书的编写要点</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）药品说明书格式和书写要求的基本内容</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药品标签管理规定</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）药品标签的分类和标示的内容</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）同品种药品标签的规定</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）药品标签上药品有效期的规定</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（三）药品质量监督检验和药品质量公告</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药品质量监督检验和检验机构</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）药品质量监督检验的界定与性质</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）药品质量监督检验机构</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药品质量监督检验的类型</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抽查检验、注册检验、指定检验和复验</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药品质量公告</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）药品质量公告界定与作用</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）发布权限和发布内容</w:t>
            </w:r>
          </w:p>
        </w:tc>
      </w:tr>
      <w:tr w:rsidR="009D02A4">
        <w:trPr>
          <w:trHeight w:val="270"/>
          <w:jc w:val="center"/>
        </w:trPr>
        <w:tc>
          <w:tcPr>
            <w:tcW w:w="980" w:type="dxa"/>
            <w:vMerge w:val="restart"/>
            <w:tcBorders>
              <w:top w:val="nil"/>
              <w:left w:val="single" w:sz="4" w:space="0" w:color="auto"/>
              <w:bottom w:val="single" w:sz="4" w:space="0" w:color="000000"/>
              <w:right w:val="single" w:sz="4" w:space="0" w:color="auto"/>
            </w:tcBorders>
            <w:shd w:val="clear" w:color="auto" w:fill="auto"/>
            <w:textDirection w:val="tbRlV"/>
            <w:vAlign w:val="center"/>
          </w:tcPr>
          <w:p w:rsidR="009D02A4" w:rsidRDefault="00A05A33">
            <w:pPr>
              <w:widowControl/>
              <w:ind w:left="0" w:firstLineChars="0" w:firstLine="0"/>
              <w:jc w:val="center"/>
              <w:rPr>
                <w:rFonts w:asciiTheme="minorEastAsia" w:hAnsiTheme="minorEastAsia" w:cs="宋体"/>
                <w:kern w:val="0"/>
                <w:sz w:val="24"/>
                <w:szCs w:val="24"/>
              </w:rPr>
            </w:pPr>
            <w:r>
              <w:rPr>
                <w:rFonts w:asciiTheme="minorEastAsia" w:hAnsiTheme="minorEastAsia" w:cs="宋体" w:hint="eastAsia"/>
                <w:kern w:val="0"/>
                <w:sz w:val="24"/>
                <w:szCs w:val="24"/>
              </w:rPr>
              <w:t>九</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药品广告管理与消费者权益保护</w:t>
            </w:r>
          </w:p>
        </w:tc>
        <w:tc>
          <w:tcPr>
            <w:tcW w:w="2010"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一）药品广告管理</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药品广告的审批</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）药品广告的界定</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）药品广告的申请、审查与发布</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药品广告的内容</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药品广告内容的要求</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药品广告的检查</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药品广告检查内容和方式</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kern w:val="0"/>
                <w:sz w:val="24"/>
                <w:szCs w:val="24"/>
              </w:rPr>
              <w:t>法律责任</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违反药品广告的法律责任</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（二）反不正当竞争法</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不正当竞争行为</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）反不正当竞争的界定</w:t>
            </w:r>
          </w:p>
        </w:tc>
      </w:tr>
      <w:tr w:rsidR="009D02A4">
        <w:trPr>
          <w:trHeight w:val="108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）混淆行为、商业贿赂行为、虚假宣传和虚假交易行为、侵犯商业秘密、不正当有奖销售、诋毁商誉行为、互联网不正当竞争行为</w:t>
            </w:r>
          </w:p>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）不正当竞争行为的法律责任</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（三）消费者权益保护</w:t>
            </w:r>
          </w:p>
        </w:tc>
        <w:tc>
          <w:tcPr>
            <w:tcW w:w="2835"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法律适用</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消费者的界定和消费者权益保护法的适用范围</w:t>
            </w:r>
          </w:p>
        </w:tc>
      </w:tr>
      <w:tr w:rsidR="009D02A4">
        <w:trPr>
          <w:trHeight w:val="81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消费者的权益</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安全保障权、真情知悉权、自主选择权、公平交易权、获取赔偿权、结社权、知识获取权、受尊重权、监督批评权</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经营者的义务</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经营者应履行的义务</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kern w:val="0"/>
                <w:sz w:val="24"/>
                <w:szCs w:val="24"/>
              </w:rPr>
              <w:t>消费者权益的保护</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消费者权益保护的措施</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hint="eastAsia"/>
                <w:kern w:val="0"/>
                <w:sz w:val="24"/>
                <w:szCs w:val="24"/>
              </w:rPr>
              <w:t>争议的解决</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）争议解决的途径</w:t>
            </w:r>
            <w:r>
              <w:rPr>
                <w:rFonts w:asciiTheme="minorEastAsia" w:hAnsiTheme="minorEastAsia" w:cs="宋体" w:hint="eastAsia"/>
                <w:kern w:val="0"/>
                <w:sz w:val="24"/>
                <w:szCs w:val="24"/>
              </w:rPr>
              <w:t xml:space="preserve"> </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）争议解决的特别规则</w:t>
            </w:r>
          </w:p>
        </w:tc>
      </w:tr>
      <w:tr w:rsidR="009D02A4">
        <w:trPr>
          <w:trHeight w:val="270"/>
          <w:jc w:val="center"/>
        </w:trPr>
        <w:tc>
          <w:tcPr>
            <w:tcW w:w="980" w:type="dxa"/>
            <w:vMerge w:val="restart"/>
            <w:tcBorders>
              <w:top w:val="nil"/>
              <w:left w:val="single" w:sz="4" w:space="0" w:color="auto"/>
              <w:bottom w:val="single" w:sz="4" w:space="0" w:color="000000"/>
              <w:right w:val="single" w:sz="4" w:space="0" w:color="auto"/>
            </w:tcBorders>
            <w:shd w:val="clear" w:color="auto" w:fill="auto"/>
            <w:textDirection w:val="tbRlV"/>
            <w:vAlign w:val="center"/>
          </w:tcPr>
          <w:p w:rsidR="009D02A4" w:rsidRDefault="00A05A33">
            <w:pPr>
              <w:widowControl/>
              <w:ind w:left="0" w:firstLineChars="0" w:firstLine="0"/>
              <w:jc w:val="center"/>
              <w:rPr>
                <w:rFonts w:asciiTheme="minorEastAsia" w:hAnsiTheme="minorEastAsia" w:cs="宋体"/>
                <w:kern w:val="0"/>
                <w:sz w:val="24"/>
                <w:szCs w:val="24"/>
              </w:rPr>
            </w:pPr>
            <w:r>
              <w:rPr>
                <w:rFonts w:asciiTheme="minorEastAsia" w:hAnsiTheme="minorEastAsia" w:cs="宋体" w:hint="eastAsia"/>
                <w:kern w:val="0"/>
                <w:sz w:val="24"/>
                <w:szCs w:val="24"/>
              </w:rPr>
              <w:t>十</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药品安全法律责任</w:t>
            </w:r>
          </w:p>
        </w:tc>
        <w:tc>
          <w:tcPr>
            <w:tcW w:w="2010"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一）药品安全法律责任与特征</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药品安全法律责任界定和种类</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）药品安全法律责任的界定</w:t>
            </w:r>
            <w:r>
              <w:rPr>
                <w:rFonts w:asciiTheme="minorEastAsia" w:hAnsiTheme="minorEastAsia" w:cs="宋体" w:hint="eastAsia"/>
                <w:kern w:val="0"/>
                <w:sz w:val="24"/>
                <w:szCs w:val="24"/>
              </w:rPr>
              <w:t xml:space="preserve"> </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）药品安全法律责任的种类</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（二）生产、销</w:t>
            </w:r>
            <w:r>
              <w:rPr>
                <w:rFonts w:asciiTheme="minorEastAsia" w:hAnsiTheme="minorEastAsia" w:cs="宋体" w:hint="eastAsia"/>
                <w:kern w:val="0"/>
                <w:sz w:val="24"/>
                <w:szCs w:val="24"/>
              </w:rPr>
              <w:lastRenderedPageBreak/>
              <w:t>售假药、劣药的法律责任</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1.</w:t>
            </w:r>
            <w:r>
              <w:rPr>
                <w:rFonts w:asciiTheme="minorEastAsia" w:hAnsiTheme="minorEastAsia" w:cs="宋体" w:hint="eastAsia"/>
                <w:kern w:val="0"/>
                <w:sz w:val="24"/>
                <w:szCs w:val="24"/>
              </w:rPr>
              <w:t>生产、销售假药的法律</w:t>
            </w:r>
            <w:r>
              <w:rPr>
                <w:rFonts w:asciiTheme="minorEastAsia" w:hAnsiTheme="minorEastAsia" w:cs="宋体" w:hint="eastAsia"/>
                <w:kern w:val="0"/>
                <w:sz w:val="24"/>
                <w:szCs w:val="24"/>
              </w:rPr>
              <w:lastRenderedPageBreak/>
              <w:t>责任</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）假药的认定</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）生产、销售假药的行政责任</w:t>
            </w:r>
            <w:r>
              <w:rPr>
                <w:rFonts w:asciiTheme="minorEastAsia" w:hAnsiTheme="minorEastAsia" w:cs="宋体" w:hint="eastAsia"/>
                <w:kern w:val="0"/>
                <w:sz w:val="24"/>
                <w:szCs w:val="24"/>
              </w:rPr>
              <w:t xml:space="preserve"> </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）生产、销售假药的刑事责任</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生产、销售劣药的法律责任</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）劣药的认定</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）生产、销售劣药的行政责任</w:t>
            </w:r>
            <w:r>
              <w:rPr>
                <w:rFonts w:asciiTheme="minorEastAsia" w:hAnsiTheme="minorEastAsia" w:cs="宋体" w:hint="eastAsia"/>
                <w:kern w:val="0"/>
                <w:sz w:val="24"/>
                <w:szCs w:val="24"/>
              </w:rPr>
              <w:t xml:space="preserve"> </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）生产、销售劣药的刑事责任</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（三）违反药品监督管理规定的法律责任</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无证生产、经营相关的法律责任</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）无证生产、经营药品的法律责任</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）从无证生产、经营企业购入药品的法律责任</w:t>
            </w:r>
          </w:p>
        </w:tc>
      </w:tr>
      <w:tr w:rsidR="009D02A4">
        <w:trPr>
          <w:trHeight w:val="81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违反药品质量管理规范的法律责任</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未按照规定实施《药品生产质量管理规范》、《药品经营质量管理规范》的法律责任</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许可证、批准证明文件相关的法律责任</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）伪造、变造、买卖、出租、出借许可证或者药品批准证明文件的法律责任</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）骗取许可证或批准证明文件的法律责任</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kern w:val="0"/>
                <w:sz w:val="24"/>
                <w:szCs w:val="24"/>
              </w:rPr>
              <w:t>药品商业贿赂行为的法律责任</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）药品购销活动中暗中给予、收受回扣或者其他利益的法律责任</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）药品购销活动中收受财物或者其他利益的法律责任</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hint="eastAsia"/>
                <w:kern w:val="0"/>
                <w:sz w:val="24"/>
                <w:szCs w:val="24"/>
              </w:rPr>
              <w:t>违反药品不良反应报告和监测规定的法律责任</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药品生产、经营和使用单位违反药品不良反应报告和监测规定的法律责任</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6.</w:t>
            </w:r>
            <w:r>
              <w:rPr>
                <w:rFonts w:asciiTheme="minorEastAsia" w:hAnsiTheme="minorEastAsia" w:cs="宋体" w:hint="eastAsia"/>
                <w:kern w:val="0"/>
                <w:sz w:val="24"/>
                <w:szCs w:val="24"/>
              </w:rPr>
              <w:t>违反药品召回管理规定的法律责任</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药品生产、经营和使用单位不履行与召回相关义务的法律责任</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7.</w:t>
            </w:r>
            <w:r>
              <w:rPr>
                <w:rFonts w:asciiTheme="minorEastAsia" w:hAnsiTheme="minorEastAsia" w:cs="宋体" w:hint="eastAsia"/>
                <w:kern w:val="0"/>
                <w:sz w:val="24"/>
                <w:szCs w:val="24"/>
              </w:rPr>
              <w:t>其他违反药品监督管理规定行为的法律责任</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）违反进口药品登记备案管理制度的法律责任</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）医疗机构向市场销售制剂的法律责任</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）药品经营违反购销记录要求、药品销售行为规定的法律责任</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4</w:t>
            </w:r>
            <w:r>
              <w:rPr>
                <w:rFonts w:asciiTheme="minorEastAsia" w:hAnsiTheme="minorEastAsia" w:cs="宋体" w:hint="eastAsia"/>
                <w:kern w:val="0"/>
                <w:sz w:val="24"/>
                <w:szCs w:val="24"/>
              </w:rPr>
              <w:t>）违反药品标识管理规定的法律责任</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四）违反特殊管理的药品管理规定的法律责任</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违反麻醉药品和精神药品管理规定的法律责任</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）定点生产企业的法律责任</w:t>
            </w:r>
            <w:r>
              <w:rPr>
                <w:rFonts w:asciiTheme="minorEastAsia" w:hAnsiTheme="minorEastAsia" w:cs="宋体" w:hint="eastAsia"/>
                <w:kern w:val="0"/>
                <w:sz w:val="24"/>
                <w:szCs w:val="24"/>
              </w:rPr>
              <w:t xml:space="preserve"> </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）经营企业的法律责任</w:t>
            </w:r>
            <w:r>
              <w:rPr>
                <w:rFonts w:asciiTheme="minorEastAsia" w:hAnsiTheme="minorEastAsia" w:cs="宋体" w:hint="eastAsia"/>
                <w:kern w:val="0"/>
                <w:sz w:val="24"/>
                <w:szCs w:val="24"/>
              </w:rPr>
              <w:t xml:space="preserve"> </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）医疗机构的法律责任</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4</w:t>
            </w:r>
            <w:r>
              <w:rPr>
                <w:rFonts w:asciiTheme="minorEastAsia" w:hAnsiTheme="minorEastAsia" w:cs="宋体" w:hint="eastAsia"/>
                <w:kern w:val="0"/>
                <w:sz w:val="24"/>
                <w:szCs w:val="24"/>
              </w:rPr>
              <w:t>）执业医师的法律责任</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5</w:t>
            </w:r>
            <w:r>
              <w:rPr>
                <w:rFonts w:asciiTheme="minorEastAsia" w:hAnsiTheme="minorEastAsia" w:cs="宋体" w:hint="eastAsia"/>
                <w:kern w:val="0"/>
                <w:sz w:val="24"/>
                <w:szCs w:val="24"/>
              </w:rPr>
              <w:t>）处方调配人、核对人的法律责任</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6</w:t>
            </w:r>
            <w:r>
              <w:rPr>
                <w:rFonts w:asciiTheme="minorEastAsia" w:hAnsiTheme="minorEastAsia" w:cs="宋体" w:hint="eastAsia"/>
                <w:kern w:val="0"/>
                <w:sz w:val="24"/>
                <w:szCs w:val="24"/>
              </w:rPr>
              <w:t>）药品监管部门和卫生主管部门的法律责任</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违反药品类易制毒化</w:t>
            </w:r>
            <w:r>
              <w:rPr>
                <w:rFonts w:asciiTheme="minorEastAsia" w:hAnsiTheme="minorEastAsia" w:cs="宋体" w:hint="eastAsia"/>
                <w:kern w:val="0"/>
                <w:sz w:val="24"/>
                <w:szCs w:val="24"/>
              </w:rPr>
              <w:lastRenderedPageBreak/>
              <w:t>学品管理规定的法律责任</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）走私、非法买卖麻黄碱类复方</w:t>
            </w:r>
            <w:r>
              <w:rPr>
                <w:rFonts w:asciiTheme="minorEastAsia" w:hAnsiTheme="minorEastAsia" w:cs="宋体" w:hint="eastAsia"/>
                <w:kern w:val="0"/>
                <w:sz w:val="24"/>
                <w:szCs w:val="24"/>
              </w:rPr>
              <w:lastRenderedPageBreak/>
              <w:t>制剂等行为的法律责任</w:t>
            </w:r>
            <w:r>
              <w:rPr>
                <w:rFonts w:asciiTheme="minorEastAsia" w:hAnsiTheme="minorEastAsia" w:cs="宋体" w:hint="eastAsia"/>
                <w:kern w:val="0"/>
                <w:sz w:val="24"/>
                <w:szCs w:val="24"/>
              </w:rPr>
              <w:t xml:space="preserve"> </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）违反药品类易制毒化学品管理规定的法律责任</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违反毒性药品管理规定的法律责任</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擅自生产、收购、经营毒性药品的法律责任</w:t>
            </w:r>
          </w:p>
        </w:tc>
      </w:tr>
      <w:tr w:rsidR="009D02A4">
        <w:trPr>
          <w:trHeight w:val="1728"/>
          <w:jc w:val="center"/>
        </w:trPr>
        <w:tc>
          <w:tcPr>
            <w:tcW w:w="980" w:type="dxa"/>
            <w:vMerge w:val="restart"/>
            <w:tcBorders>
              <w:top w:val="nil"/>
              <w:left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val="restart"/>
            <w:tcBorders>
              <w:top w:val="nil"/>
              <w:left w:val="single" w:sz="4" w:space="0" w:color="auto"/>
              <w:right w:val="single" w:sz="4" w:space="0" w:color="auto"/>
            </w:tcBorders>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（五）违反中医药法相关规定的法律责任</w:t>
            </w:r>
          </w:p>
        </w:tc>
        <w:tc>
          <w:tcPr>
            <w:tcW w:w="2835"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违反举办中医诊所、炮制中药饮片、委托配制中药制剂备案管理规定的法律责任</w:t>
            </w:r>
          </w:p>
        </w:tc>
        <w:tc>
          <w:tcPr>
            <w:tcW w:w="4004" w:type="dxa"/>
            <w:tcBorders>
              <w:top w:val="nil"/>
              <w:left w:val="nil"/>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）应备案而未备案，或者备案时提供虚假材料的法律责任</w:t>
            </w:r>
          </w:p>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）应用传统工艺配制中药制剂未依照规定备案或未按照备案材料载明的要求配制中药制剂的处罚</w:t>
            </w:r>
          </w:p>
        </w:tc>
      </w:tr>
      <w:tr w:rsidR="009D02A4">
        <w:trPr>
          <w:trHeight w:val="50"/>
          <w:jc w:val="center"/>
        </w:trPr>
        <w:tc>
          <w:tcPr>
            <w:tcW w:w="980" w:type="dxa"/>
            <w:vMerge/>
            <w:tcBorders>
              <w:left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val="restart"/>
            <w:tcBorders>
              <w:top w:val="nil"/>
              <w:left w:val="nil"/>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中药材种植过程中使用剧毒、高毒农药的法律责任</w:t>
            </w:r>
          </w:p>
        </w:tc>
        <w:tc>
          <w:tcPr>
            <w:tcW w:w="4004" w:type="dxa"/>
            <w:tcBorders>
              <w:left w:val="nil"/>
              <w:bottom w:val="single" w:sz="4" w:space="0" w:color="auto"/>
              <w:right w:val="single" w:sz="4" w:space="0" w:color="auto"/>
            </w:tcBorders>
            <w:shd w:val="clear" w:color="auto" w:fill="auto"/>
            <w:vAlign w:val="center"/>
          </w:tcPr>
          <w:p w:rsidR="009D02A4" w:rsidRDefault="009D02A4">
            <w:pPr>
              <w:widowControl/>
              <w:ind w:left="0" w:firstLineChars="0" w:firstLine="0"/>
              <w:jc w:val="left"/>
              <w:rPr>
                <w:rFonts w:asciiTheme="minorEastAsia" w:hAnsiTheme="minorEastAsia" w:cs="宋体"/>
                <w:kern w:val="0"/>
                <w:sz w:val="24"/>
                <w:szCs w:val="24"/>
              </w:rPr>
            </w:pPr>
          </w:p>
        </w:tc>
      </w:tr>
      <w:tr w:rsidR="009D02A4">
        <w:trPr>
          <w:trHeight w:val="225"/>
          <w:jc w:val="center"/>
        </w:trPr>
        <w:tc>
          <w:tcPr>
            <w:tcW w:w="980" w:type="dxa"/>
            <w:vMerge/>
            <w:tcBorders>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left w:val="nil"/>
              <w:bottom w:val="single" w:sz="4" w:space="0" w:color="auto"/>
              <w:right w:val="single" w:sz="4" w:space="0" w:color="auto"/>
            </w:tcBorders>
            <w:shd w:val="clear" w:color="auto" w:fill="auto"/>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违法使用剧毒、高毒农药的法律责任</w:t>
            </w:r>
          </w:p>
        </w:tc>
      </w:tr>
      <w:tr w:rsidR="009D02A4">
        <w:trPr>
          <w:trHeight w:val="270"/>
          <w:jc w:val="center"/>
        </w:trPr>
        <w:tc>
          <w:tcPr>
            <w:tcW w:w="980" w:type="dxa"/>
            <w:vMerge w:val="restart"/>
            <w:tcBorders>
              <w:top w:val="nil"/>
              <w:left w:val="single" w:sz="4" w:space="0" w:color="auto"/>
              <w:right w:val="single" w:sz="4" w:space="0" w:color="auto"/>
            </w:tcBorders>
            <w:shd w:val="clear" w:color="auto" w:fill="auto"/>
            <w:textDirection w:val="tbRlV"/>
            <w:vAlign w:val="center"/>
          </w:tcPr>
          <w:p w:rsidR="009D02A4" w:rsidRDefault="00A05A33">
            <w:pPr>
              <w:widowControl/>
              <w:ind w:left="0" w:firstLineChars="0" w:firstLine="0"/>
              <w:jc w:val="center"/>
              <w:rPr>
                <w:rFonts w:asciiTheme="minorEastAsia" w:hAnsiTheme="minorEastAsia" w:cs="宋体"/>
                <w:kern w:val="0"/>
                <w:sz w:val="24"/>
                <w:szCs w:val="24"/>
              </w:rPr>
            </w:pPr>
            <w:r>
              <w:rPr>
                <w:rFonts w:asciiTheme="minorEastAsia" w:hAnsiTheme="minorEastAsia" w:cs="宋体" w:hint="eastAsia"/>
                <w:kern w:val="0"/>
                <w:sz w:val="24"/>
                <w:szCs w:val="24"/>
              </w:rPr>
              <w:t>十一</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医疗器械、保健食品和化妆品的管理</w:t>
            </w:r>
          </w:p>
        </w:tc>
        <w:tc>
          <w:tcPr>
            <w:tcW w:w="2010" w:type="dxa"/>
            <w:vMerge w:val="restart"/>
            <w:tcBorders>
              <w:top w:val="nil"/>
              <w:left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一）医疗器械管理</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医疗器械管理的基本要求</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）医疗器械的界定</w:t>
            </w:r>
          </w:p>
        </w:tc>
      </w:tr>
      <w:tr w:rsidR="009D02A4">
        <w:trPr>
          <w:trHeight w:val="270"/>
          <w:jc w:val="center"/>
        </w:trPr>
        <w:tc>
          <w:tcPr>
            <w:tcW w:w="980" w:type="dxa"/>
            <w:vMerge/>
            <w:tcBorders>
              <w:left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）医疗器械的分类</w:t>
            </w:r>
          </w:p>
        </w:tc>
      </w:tr>
      <w:tr w:rsidR="009D02A4">
        <w:trPr>
          <w:trHeight w:val="270"/>
          <w:jc w:val="center"/>
        </w:trPr>
        <w:tc>
          <w:tcPr>
            <w:tcW w:w="980" w:type="dxa"/>
            <w:vMerge/>
            <w:tcBorders>
              <w:left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）产品注册与备案管理</w:t>
            </w:r>
          </w:p>
        </w:tc>
      </w:tr>
      <w:tr w:rsidR="009D02A4">
        <w:trPr>
          <w:trHeight w:val="540"/>
          <w:jc w:val="center"/>
        </w:trPr>
        <w:tc>
          <w:tcPr>
            <w:tcW w:w="980" w:type="dxa"/>
            <w:vMerge/>
            <w:tcBorders>
              <w:left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4</w:t>
            </w:r>
            <w:r>
              <w:rPr>
                <w:rFonts w:asciiTheme="minorEastAsia" w:hAnsiTheme="minorEastAsia" w:cs="宋体" w:hint="eastAsia"/>
                <w:kern w:val="0"/>
                <w:sz w:val="24"/>
                <w:szCs w:val="24"/>
              </w:rPr>
              <w:t>）医疗器械注册证格式与备案凭证格式</w:t>
            </w:r>
          </w:p>
        </w:tc>
      </w:tr>
      <w:tr w:rsidR="009D02A4">
        <w:trPr>
          <w:trHeight w:val="270"/>
          <w:jc w:val="center"/>
        </w:trPr>
        <w:tc>
          <w:tcPr>
            <w:tcW w:w="980" w:type="dxa"/>
            <w:vMerge/>
            <w:tcBorders>
              <w:left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5</w:t>
            </w:r>
            <w:r>
              <w:rPr>
                <w:rFonts w:asciiTheme="minorEastAsia" w:hAnsiTheme="minorEastAsia" w:cs="宋体" w:hint="eastAsia"/>
                <w:kern w:val="0"/>
                <w:sz w:val="24"/>
                <w:szCs w:val="24"/>
              </w:rPr>
              <w:t>）医疗器械说明书和标签管理</w:t>
            </w:r>
          </w:p>
        </w:tc>
      </w:tr>
      <w:tr w:rsidR="009D02A4">
        <w:trPr>
          <w:trHeight w:val="540"/>
          <w:jc w:val="center"/>
        </w:trPr>
        <w:tc>
          <w:tcPr>
            <w:tcW w:w="980" w:type="dxa"/>
            <w:vMerge/>
            <w:tcBorders>
              <w:left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val="restart"/>
            <w:tcBorders>
              <w:top w:val="nil"/>
              <w:left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医疗器械经营与使用管理</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）医疗器械经营分类管理</w:t>
            </w:r>
          </w:p>
        </w:tc>
      </w:tr>
      <w:tr w:rsidR="009D02A4">
        <w:trPr>
          <w:trHeight w:val="270"/>
          <w:jc w:val="center"/>
        </w:trPr>
        <w:tc>
          <w:tcPr>
            <w:tcW w:w="980" w:type="dxa"/>
            <w:vMerge/>
            <w:tcBorders>
              <w:left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left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）医疗器械经营许可证管理</w:t>
            </w:r>
          </w:p>
        </w:tc>
      </w:tr>
      <w:tr w:rsidR="009D02A4">
        <w:trPr>
          <w:trHeight w:val="270"/>
          <w:jc w:val="center"/>
        </w:trPr>
        <w:tc>
          <w:tcPr>
            <w:tcW w:w="980" w:type="dxa"/>
            <w:vMerge/>
            <w:tcBorders>
              <w:left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left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）经营质量管理规范的基本要求</w:t>
            </w:r>
          </w:p>
        </w:tc>
      </w:tr>
      <w:tr w:rsidR="009D02A4">
        <w:trPr>
          <w:trHeight w:val="132"/>
          <w:jc w:val="center"/>
        </w:trPr>
        <w:tc>
          <w:tcPr>
            <w:tcW w:w="980" w:type="dxa"/>
            <w:vMerge/>
            <w:tcBorders>
              <w:left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left w:val="single" w:sz="4" w:space="0" w:color="auto"/>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4</w:t>
            </w:r>
            <w:r>
              <w:rPr>
                <w:rFonts w:asciiTheme="minorEastAsia" w:hAnsiTheme="minorEastAsia" w:cs="宋体" w:hint="eastAsia"/>
                <w:kern w:val="0"/>
                <w:sz w:val="24"/>
                <w:szCs w:val="24"/>
              </w:rPr>
              <w:t>）医疗器械网络销售监督管理要求</w:t>
            </w:r>
          </w:p>
        </w:tc>
      </w:tr>
      <w:tr w:rsidR="009D02A4">
        <w:trPr>
          <w:trHeight w:val="131"/>
          <w:jc w:val="center"/>
        </w:trPr>
        <w:tc>
          <w:tcPr>
            <w:tcW w:w="980" w:type="dxa"/>
            <w:vMerge/>
            <w:tcBorders>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5</w:t>
            </w:r>
            <w:r>
              <w:rPr>
                <w:rFonts w:asciiTheme="minorEastAsia" w:hAnsiTheme="minorEastAsia" w:cs="宋体" w:hint="eastAsia"/>
                <w:kern w:val="0"/>
                <w:sz w:val="24"/>
                <w:szCs w:val="24"/>
              </w:rPr>
              <w:t>）医疗器械使用管理</w:t>
            </w:r>
          </w:p>
        </w:tc>
      </w:tr>
      <w:tr w:rsidR="009D02A4">
        <w:trPr>
          <w:trHeight w:val="54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医疗器械不良事件的处理与问题产品召回</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）医疗器械不良事件监测</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）医疗器械再评价和结果处理</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）医疗器械召回管理</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二）保健食品、特殊医学用途配方食品和婴幼儿配方食品的管理</w:t>
            </w:r>
          </w:p>
        </w:tc>
        <w:tc>
          <w:tcPr>
            <w:tcW w:w="2835" w:type="dxa"/>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保健食品管理</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）保健食品的界定</w:t>
            </w:r>
            <w:r>
              <w:rPr>
                <w:rFonts w:asciiTheme="minorEastAsia" w:hAnsiTheme="minorEastAsia" w:cs="宋体" w:hint="eastAsia"/>
                <w:kern w:val="0"/>
                <w:sz w:val="24"/>
                <w:szCs w:val="24"/>
              </w:rPr>
              <w:t xml:space="preserve"> </w:t>
            </w:r>
          </w:p>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）保健食品的特征</w:t>
            </w:r>
          </w:p>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）保健食品注册与备案管理</w:t>
            </w:r>
          </w:p>
        </w:tc>
      </w:tr>
      <w:tr w:rsidR="009D02A4">
        <w:tblPrEx>
          <w:tblBorders>
            <w:left w:val="single" w:sz="4" w:space="0" w:color="auto"/>
            <w:bottom w:val="single" w:sz="4" w:space="0" w:color="auto"/>
            <w:right w:val="single" w:sz="4" w:space="0" w:color="auto"/>
            <w:insideH w:val="single" w:sz="4" w:space="0" w:color="auto"/>
            <w:insideV w:val="single" w:sz="4" w:space="0" w:color="auto"/>
          </w:tblBorders>
        </w:tblPrEx>
        <w:trPr>
          <w:trHeight w:val="614"/>
          <w:jc w:val="center"/>
        </w:trPr>
        <w:tc>
          <w:tcPr>
            <w:tcW w:w="980" w:type="dxa"/>
            <w:vMerge/>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shd w:val="clear" w:color="auto" w:fill="auto"/>
            <w:vAlign w:val="center"/>
          </w:tcPr>
          <w:p w:rsidR="009D02A4" w:rsidRDefault="00A05A33">
            <w:pPr>
              <w:widowControl/>
              <w:ind w:left="0" w:firstLineChars="0" w:firstLine="0"/>
              <w:jc w:val="left"/>
              <w:rPr>
                <w:rFonts w:asciiTheme="minorEastAsia" w:hAnsiTheme="minorEastAsia" w:cs="宋体"/>
                <w:b/>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特殊医学用途配方食品和婴幼儿配方食品的管理</w:t>
            </w:r>
          </w:p>
        </w:tc>
        <w:tc>
          <w:tcPr>
            <w:tcW w:w="4004" w:type="dxa"/>
            <w:shd w:val="clear" w:color="auto" w:fill="auto"/>
            <w:vAlign w:val="center"/>
          </w:tcPr>
          <w:p w:rsidR="009D02A4" w:rsidRDefault="00A05A33">
            <w:pPr>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特殊医学用途配方食品和婴幼儿配方食品的管理的基本要求</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（三）化妆品管理</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化妆品管理的基本要求</w:t>
            </w: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）化妆品的界定和分类</w:t>
            </w:r>
          </w:p>
        </w:tc>
      </w:tr>
      <w:tr w:rsidR="009D02A4">
        <w:trPr>
          <w:trHeight w:val="270"/>
          <w:jc w:val="center"/>
        </w:trPr>
        <w:tc>
          <w:tcPr>
            <w:tcW w:w="98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010"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rsidR="009D02A4" w:rsidRDefault="009D02A4">
            <w:pPr>
              <w:widowControl/>
              <w:ind w:left="0" w:firstLineChars="0" w:firstLine="0"/>
              <w:jc w:val="left"/>
              <w:rPr>
                <w:rFonts w:asciiTheme="minorEastAsia" w:hAnsiTheme="minorEastAsia" w:cs="宋体"/>
                <w:kern w:val="0"/>
                <w:sz w:val="24"/>
                <w:szCs w:val="24"/>
              </w:rPr>
            </w:pPr>
          </w:p>
        </w:tc>
        <w:tc>
          <w:tcPr>
            <w:tcW w:w="4004" w:type="dxa"/>
            <w:tcBorders>
              <w:top w:val="nil"/>
              <w:left w:val="nil"/>
              <w:bottom w:val="single" w:sz="4" w:space="0" w:color="auto"/>
              <w:right w:val="single" w:sz="4" w:space="0" w:color="auto"/>
            </w:tcBorders>
            <w:shd w:val="clear" w:color="auto" w:fill="auto"/>
            <w:vAlign w:val="center"/>
          </w:tcPr>
          <w:p w:rsidR="009D02A4" w:rsidRDefault="00A05A33">
            <w:pPr>
              <w:widowControl/>
              <w:ind w:left="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）化妆品生产许可证和批准文</w:t>
            </w:r>
            <w:proofErr w:type="gramStart"/>
            <w:r>
              <w:rPr>
                <w:rFonts w:asciiTheme="minorEastAsia" w:hAnsiTheme="minorEastAsia" w:cs="宋体" w:hint="eastAsia"/>
                <w:kern w:val="0"/>
                <w:sz w:val="24"/>
                <w:szCs w:val="24"/>
              </w:rPr>
              <w:t>号管理</w:t>
            </w:r>
            <w:proofErr w:type="gramEnd"/>
          </w:p>
        </w:tc>
      </w:tr>
    </w:tbl>
    <w:p w:rsidR="009D02A4" w:rsidRDefault="009D02A4">
      <w:pPr>
        <w:ind w:left="0" w:firstLineChars="0" w:firstLine="0"/>
        <w:rPr>
          <w:rFonts w:asciiTheme="minorEastAsia" w:hAnsiTheme="minorEastAsia"/>
          <w:sz w:val="24"/>
          <w:szCs w:val="24"/>
        </w:rPr>
      </w:pPr>
    </w:p>
    <w:sectPr w:rsidR="009D02A4" w:rsidSect="009D02A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A33" w:rsidRDefault="00A05A33" w:rsidP="00C75246">
      <w:pPr>
        <w:ind w:left="315" w:hanging="315"/>
      </w:pPr>
      <w:r>
        <w:separator/>
      </w:r>
    </w:p>
  </w:endnote>
  <w:endnote w:type="continuationSeparator" w:id="0">
    <w:p w:rsidR="00A05A33" w:rsidRDefault="00A05A33" w:rsidP="00C75246">
      <w:pPr>
        <w:ind w:left="315" w:hanging="315"/>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2A4" w:rsidRDefault="009D02A4">
    <w:pPr>
      <w:pStyle w:val="a4"/>
      <w:ind w:left="270" w:hanging="27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2A4" w:rsidRDefault="009D02A4">
    <w:pPr>
      <w:pStyle w:val="a4"/>
      <w:ind w:left="270" w:hanging="27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2A4" w:rsidRDefault="009D02A4">
    <w:pPr>
      <w:pStyle w:val="a4"/>
      <w:ind w:left="270" w:hanging="27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A33" w:rsidRDefault="00A05A33" w:rsidP="00C75246">
      <w:pPr>
        <w:ind w:left="315" w:hanging="315"/>
      </w:pPr>
      <w:r>
        <w:separator/>
      </w:r>
    </w:p>
  </w:footnote>
  <w:footnote w:type="continuationSeparator" w:id="0">
    <w:p w:rsidR="00A05A33" w:rsidRDefault="00A05A33" w:rsidP="00C75246">
      <w:pPr>
        <w:ind w:left="315" w:hanging="315"/>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2A4" w:rsidRDefault="009D02A4">
    <w:pPr>
      <w:pStyle w:val="a5"/>
      <w:ind w:left="270" w:hanging="27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2A4" w:rsidRDefault="009D02A4">
    <w:pPr>
      <w:pStyle w:val="a5"/>
      <w:ind w:left="270" w:hanging="27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2A4" w:rsidRDefault="009D02A4">
    <w:pPr>
      <w:pStyle w:val="a5"/>
      <w:ind w:left="270" w:hanging="27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4112"/>
    <w:rsid w:val="00066BE1"/>
    <w:rsid w:val="00074C15"/>
    <w:rsid w:val="000C47DE"/>
    <w:rsid w:val="00121E12"/>
    <w:rsid w:val="00124112"/>
    <w:rsid w:val="00187DB4"/>
    <w:rsid w:val="00272FC6"/>
    <w:rsid w:val="002A20DB"/>
    <w:rsid w:val="002D2DBF"/>
    <w:rsid w:val="002E0AAD"/>
    <w:rsid w:val="00317069"/>
    <w:rsid w:val="003623C8"/>
    <w:rsid w:val="0037189F"/>
    <w:rsid w:val="003D693E"/>
    <w:rsid w:val="00407FA0"/>
    <w:rsid w:val="00423149"/>
    <w:rsid w:val="00437125"/>
    <w:rsid w:val="004431E0"/>
    <w:rsid w:val="004827D8"/>
    <w:rsid w:val="0050035B"/>
    <w:rsid w:val="005E2C4F"/>
    <w:rsid w:val="006C29F7"/>
    <w:rsid w:val="007368E1"/>
    <w:rsid w:val="00754884"/>
    <w:rsid w:val="00762B8E"/>
    <w:rsid w:val="007C4E06"/>
    <w:rsid w:val="007E4599"/>
    <w:rsid w:val="008163C4"/>
    <w:rsid w:val="00834B7C"/>
    <w:rsid w:val="00854336"/>
    <w:rsid w:val="00856A53"/>
    <w:rsid w:val="008907BC"/>
    <w:rsid w:val="00896E2B"/>
    <w:rsid w:val="00897BA6"/>
    <w:rsid w:val="008B56C8"/>
    <w:rsid w:val="00906247"/>
    <w:rsid w:val="00946BB6"/>
    <w:rsid w:val="00994BDF"/>
    <w:rsid w:val="009A77CF"/>
    <w:rsid w:val="009D02A4"/>
    <w:rsid w:val="009F3366"/>
    <w:rsid w:val="00A05A33"/>
    <w:rsid w:val="00A63ABC"/>
    <w:rsid w:val="00AC0E19"/>
    <w:rsid w:val="00AC1A25"/>
    <w:rsid w:val="00B07994"/>
    <w:rsid w:val="00B10095"/>
    <w:rsid w:val="00BF64C9"/>
    <w:rsid w:val="00C75246"/>
    <w:rsid w:val="00CD7E7F"/>
    <w:rsid w:val="00D03B55"/>
    <w:rsid w:val="00D42588"/>
    <w:rsid w:val="00D51B62"/>
    <w:rsid w:val="00D63DC2"/>
    <w:rsid w:val="00D801D0"/>
    <w:rsid w:val="00D8686C"/>
    <w:rsid w:val="00DB0321"/>
    <w:rsid w:val="00DC6F40"/>
    <w:rsid w:val="00DF51E4"/>
    <w:rsid w:val="00E24664"/>
    <w:rsid w:val="00E70248"/>
    <w:rsid w:val="00EA10FB"/>
    <w:rsid w:val="00F331C5"/>
    <w:rsid w:val="00F3777E"/>
    <w:rsid w:val="00F805F8"/>
    <w:rsid w:val="00F82512"/>
    <w:rsid w:val="00FD41B5"/>
    <w:rsid w:val="00FD7949"/>
    <w:rsid w:val="502933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A4"/>
    <w:pPr>
      <w:widowControl w:val="0"/>
      <w:ind w:left="150" w:hangingChars="150" w:hanging="15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D02A4"/>
    <w:rPr>
      <w:sz w:val="18"/>
      <w:szCs w:val="18"/>
    </w:rPr>
  </w:style>
  <w:style w:type="paragraph" w:styleId="a4">
    <w:name w:val="footer"/>
    <w:basedOn w:val="a"/>
    <w:link w:val="Char0"/>
    <w:uiPriority w:val="99"/>
    <w:semiHidden/>
    <w:unhideWhenUsed/>
    <w:qFormat/>
    <w:rsid w:val="009D02A4"/>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9D02A4"/>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sid w:val="009D02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semiHidden/>
    <w:qFormat/>
    <w:rsid w:val="009D02A4"/>
    <w:rPr>
      <w:sz w:val="18"/>
      <w:szCs w:val="18"/>
    </w:rPr>
  </w:style>
  <w:style w:type="character" w:customStyle="1" w:styleId="Char0">
    <w:name w:val="页脚 Char"/>
    <w:basedOn w:val="a0"/>
    <w:link w:val="a4"/>
    <w:uiPriority w:val="99"/>
    <w:semiHidden/>
    <w:rsid w:val="009D02A4"/>
    <w:rPr>
      <w:sz w:val="18"/>
      <w:szCs w:val="18"/>
    </w:rPr>
  </w:style>
  <w:style w:type="character" w:customStyle="1" w:styleId="Char">
    <w:name w:val="批注框文本 Char"/>
    <w:basedOn w:val="a0"/>
    <w:link w:val="a3"/>
    <w:uiPriority w:val="99"/>
    <w:semiHidden/>
    <w:rsid w:val="009D02A4"/>
    <w:rPr>
      <w:sz w:val="18"/>
      <w:szCs w:val="18"/>
    </w:rPr>
  </w:style>
</w:styles>
</file>

<file path=word/webSettings.xml><?xml version="1.0" encoding="utf-8"?>
<w:webSettings xmlns:r="http://schemas.openxmlformats.org/officeDocument/2006/relationships" xmlns:w="http://schemas.openxmlformats.org/wordprocessingml/2006/main">
  <w:divs>
    <w:div w:id="812412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11</Pages>
  <Words>1345</Words>
  <Characters>7672</Characters>
  <Application>Microsoft Office Word</Application>
  <DocSecurity>0</DocSecurity>
  <Lines>63</Lines>
  <Paragraphs>17</Paragraphs>
  <ScaleCrop>false</ScaleCrop>
  <Company/>
  <LinksUpToDate>false</LinksUpToDate>
  <CharactersWithSpaces>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孟想</dc:creator>
  <cp:lastModifiedBy>DELL</cp:lastModifiedBy>
  <cp:revision>25</cp:revision>
  <dcterms:created xsi:type="dcterms:W3CDTF">2015-02-07T07:47:00Z</dcterms:created>
  <dcterms:modified xsi:type="dcterms:W3CDTF">2019-04-09T07:56:00Z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