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2019年高层次及紧缺专业人才招聘计划表</w:t>
      </w:r>
      <w:bookmarkStart w:id="0" w:name="_GoBack"/>
      <w:bookmarkEnd w:id="0"/>
    </w:p>
    <w:tbl>
      <w:tblPr>
        <w:tblStyle w:val="4"/>
        <w:tblpPr w:leftFromText="180" w:rightFromText="180" w:vertAnchor="text" w:tblpX="-664" w:tblpY="429"/>
        <w:tblOverlap w:val="never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511"/>
        <w:gridCol w:w="870"/>
        <w:gridCol w:w="1840"/>
        <w:gridCol w:w="2711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shd w:val="clear" w:color="auto" w:fill="E7E6E6" w:themeFill="background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科室</w:t>
            </w:r>
          </w:p>
        </w:tc>
        <w:tc>
          <w:tcPr>
            <w:tcW w:w="1511" w:type="dxa"/>
            <w:shd w:val="clear" w:color="auto" w:fill="E7E6E6" w:themeFill="background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870" w:type="dxa"/>
            <w:shd w:val="clear" w:color="auto" w:fill="E7E6E6" w:themeFill="background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人数</w:t>
            </w:r>
          </w:p>
        </w:tc>
        <w:tc>
          <w:tcPr>
            <w:tcW w:w="1840" w:type="dxa"/>
            <w:shd w:val="clear" w:color="auto" w:fill="E7E6E6" w:themeFill="background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711" w:type="dxa"/>
            <w:shd w:val="clear" w:color="auto" w:fill="E7E6E6" w:themeFill="background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12" w:type="dxa"/>
            <w:shd w:val="clear" w:color="auto" w:fill="E7E6E6" w:themeFill="background2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3" w:type="dxa"/>
            <w:gridSpan w:val="6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一、招聘高层次人才（2名）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普外科</w:t>
            </w:r>
          </w:p>
        </w:tc>
        <w:tc>
          <w:tcPr>
            <w:tcW w:w="1511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普外科主任医师职称，需在二级综合医院工作满5年以上，50周岁以下；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学科带头人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511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医学检验诊断、免疫学等相关专业</w:t>
            </w:r>
          </w:p>
        </w:tc>
        <w:tc>
          <w:tcPr>
            <w:tcW w:w="2711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83" w:type="dxa"/>
            <w:gridSpan w:val="6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招聘紧缺专业人才（22名）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Merge w:val="restart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精神卫生中心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精神病与精神卫生学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硕士研究生：2015年以后毕业全日制毕业生，35周岁以下（如取得中级职称或规培证书，年龄可适当放宽,同等条件优先考虑）；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本科及以上：2015年以后毕业全日制毕业生，28周岁以下（如取得执业医师证书或规培证书，年龄可适当放宽，同等条件优先考虑）；</w:t>
            </w: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Merge w:val="continue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精神医学和临床医学</w:t>
            </w:r>
          </w:p>
        </w:tc>
        <w:tc>
          <w:tcPr>
            <w:tcW w:w="27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神经外科学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烧伤整形科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普通外科学或烧伤整形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麻醉学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肿瘤放化疗科</w:t>
            </w:r>
          </w:p>
        </w:tc>
        <w:tc>
          <w:tcPr>
            <w:tcW w:w="15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肿瘤学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眼科</w:t>
            </w:r>
          </w:p>
        </w:tc>
        <w:tc>
          <w:tcPr>
            <w:tcW w:w="15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眼科学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15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儿科学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急诊科</w:t>
            </w:r>
          </w:p>
        </w:tc>
        <w:tc>
          <w:tcPr>
            <w:tcW w:w="15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急诊医学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重症医学科</w:t>
            </w:r>
          </w:p>
        </w:tc>
        <w:tc>
          <w:tcPr>
            <w:tcW w:w="15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重症医学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内分泌糖尿病科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内分泌代谢病专业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心血管内科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心血管内科学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内科学等相关专业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39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病理科</w:t>
            </w:r>
          </w:p>
        </w:tc>
        <w:tc>
          <w:tcPr>
            <w:tcW w:w="1511" w:type="dxa"/>
            <w:vAlign w:val="bottom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870" w:type="dxa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病理、生理学等相关专业</w:t>
            </w:r>
          </w:p>
        </w:tc>
        <w:tc>
          <w:tcPr>
            <w:tcW w:w="2711" w:type="dxa"/>
            <w:vMerge w:val="continue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从事病理诊断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850" w:right="1701" w:bottom="85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D954"/>
    <w:multiLevelType w:val="singleLevel"/>
    <w:tmpl w:val="7B67D9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9EE2446-4E6B-4503-BEB6-B2BBD7DC1F56}"/>
    <w:docVar w:name="DocumentName" w:val="7904 中的文档"/>
  </w:docVars>
  <w:rsids>
    <w:rsidRoot w:val="3E3446FA"/>
    <w:rsid w:val="01946176"/>
    <w:rsid w:val="2B3965EB"/>
    <w:rsid w:val="375D7475"/>
    <w:rsid w:val="7AD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2019-04-15T01:37:00Z</dcterms:created>
  <dc:creator>夕落1414032354</dc:creator>
  <cp:lastModifiedBy>神赐吾名丶Man1414031801</cp:lastModifiedBy>
  <cp:lastPrinted>2019-04-15T07:02:00Z</cp:lastPrinted>
  <dcterms:modified xsi:type="dcterms:W3CDTF">2019-04-29T00:46:09Z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