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1"/>
        <w:gridCol w:w="1291"/>
        <w:gridCol w:w="1381"/>
        <w:gridCol w:w="1876"/>
        <w:gridCol w:w="1681"/>
        <w:gridCol w:w="12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0"/>
                <w:szCs w:val="20"/>
                <w:shd w:val="clear" w:fill="FFFFFF"/>
              </w:rPr>
              <w:t>颍上县中医院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招聘计划表</w:t>
            </w:r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研究生及以上人数不限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高中起点大专及以上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需要统一笔试</w:t>
            </w: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（放射、CT、MRI各2名、超声方向2名）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医学影像诊断或临床专业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有执业医师证优先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有规培证优先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研究生及以上人数不限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3-5人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有执业医师证优先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年龄30周岁以下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研究生及以上人数不限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2-3人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临床医学或病理学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有执业医师证优先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（小儿针灸推拿方向1名、新生儿专业方向1名）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西医学专业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有执业医师证优先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6-8人（临床专业3-4人、中西医/中医专业3-4人）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中西/中医临床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年龄25周岁以下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ICU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执业医师证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针推科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针灸推拿专业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需通过院部面试、科室面试及操作考核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6人（微生物2人、输血2人、血液学2人）</w:t>
            </w:r>
          </w:p>
        </w:tc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医学检验学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有资格证优先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男女各一人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15ED"/>
    <w:rsid w:val="7FDA1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2019-08-06T11:26:00Z</dcterms:created>
  <dc:creator>ASUS</dc:creator>
  <cp:lastModifiedBy>ASUS</cp:lastModifiedBy>
  <dcterms:modified xsi:type="dcterms:W3CDTF">2019-08-06T11:27:27Z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