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0"/>
          <w:szCs w:val="30"/>
        </w:rPr>
      </w:pPr>
      <w:r>
        <w:rPr>
          <w:rFonts w:ascii="方正小标宋_GBK" w:hAnsi="方正小标宋_GBK" w:eastAsia="方正小标宋_GBK" w:cs="方正小标宋_GBK"/>
          <w:sz w:val="30"/>
          <w:szCs w:val="30"/>
        </w:rPr>
        <w:t>201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年福建省福州儿童医院公开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编外专技人员</w:t>
      </w:r>
      <w:r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</w:rPr>
        <w:t>人才岗位信息表</w:t>
      </w:r>
    </w:p>
    <w:tbl>
      <w:tblPr>
        <w:tblStyle w:val="2"/>
        <w:tblW w:w="1409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1335"/>
        <w:gridCol w:w="532"/>
        <w:gridCol w:w="917"/>
        <w:gridCol w:w="883"/>
        <w:gridCol w:w="1417"/>
        <w:gridCol w:w="1400"/>
        <w:gridCol w:w="1283"/>
        <w:gridCol w:w="1583"/>
        <w:gridCol w:w="41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6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职  位  条  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9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药剂科静配中心药师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全日制普通院校毕业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学位及以上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药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全日制普通高等医学院校毕业；本科阶段须为全日制普通高等医学院校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药学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专业毕业。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9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放射科技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全日制普通院校毕业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学位及以上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医学影像技术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全日制普通高等医学院校毕业；本科阶段须为全日制普通高等医学院校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医学影像技术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专业毕业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康复科物理治疗师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全日制普通院校毕业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康复治疗技术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全日制普通高等医学院校毕业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8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病案室病案管理员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全日制普通院校毕业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学位及以上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卫生信息管理或公共事业管理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全日制普通高等医学院校毕业；本科阶段须为全日制普通高等医学院校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卫生信息管理或公共事业管理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专业毕业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  <w:t>；熟练掌握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ICD-10疾病编码和ICD-9-CM3手术编码；有两年及以上工作经验者优先。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04848"/>
    <w:rsid w:val="09867EC2"/>
    <w:rsid w:val="2DDD5344"/>
    <w:rsid w:val="2DDE792C"/>
    <w:rsid w:val="38404848"/>
    <w:rsid w:val="744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2019-03-08T01:36:00Z</dcterms:created>
  <dc:creator>朱陈铖</dc:creator>
  <cp:lastModifiedBy>黑眼圈掉地上</cp:lastModifiedBy>
  <cp:lastPrinted>2019-09-03T09:43:00Z</cp:lastPrinted>
  <dcterms:modified xsi:type="dcterms:W3CDTF">2019-09-06T05:56:36Z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