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left w:w="0" w:type="dxa"/>
          <w:right w:w="0" w:type="dxa"/>
        </w:tblCellMar>
        <w:tblLook w:val="04A0"/>
      </w:tblPr>
      <w:tblGrid>
        <w:gridCol w:w="8606"/>
      </w:tblGrid>
      <w:tr w:rsidR="00E22594" w:rsidRPr="00E22594">
        <w:trPr>
          <w:tblCellSpacing w:w="75" w:type="dxa"/>
        </w:trPr>
        <w:tc>
          <w:tcPr>
            <w:tcW w:w="0" w:type="auto"/>
            <w:vAlign w:val="center"/>
            <w:hideMark/>
          </w:tcPr>
          <w:p w:rsidR="00E22594" w:rsidRPr="00E22594" w:rsidRDefault="00E22594" w:rsidP="00E22594">
            <w:pPr>
              <w:widowControl/>
              <w:jc w:val="center"/>
              <w:rPr>
                <w:rFonts w:ascii="宋体" w:eastAsia="宋体" w:hAnsi="宋体" w:cs="宋体"/>
                <w:kern w:val="0"/>
                <w:sz w:val="24"/>
                <w:szCs w:val="24"/>
              </w:rPr>
            </w:pPr>
            <w:r w:rsidRPr="00E22594">
              <w:rPr>
                <w:rFonts w:ascii="FZXiaoBiaoSong-B05S" w:eastAsia="宋体" w:hAnsi="FZXiaoBiaoSong-B05S" w:cs="宋体"/>
                <w:color w:val="244FA2"/>
                <w:kern w:val="0"/>
                <w:sz w:val="44"/>
              </w:rPr>
              <w:t>关于进一步贯彻落实《传统医学师承和确有专长人员医师资格考核考试办法》的通知</w:t>
            </w:r>
          </w:p>
        </w:tc>
      </w:tr>
      <w:tr w:rsidR="00E22594" w:rsidRPr="00E22594">
        <w:trPr>
          <w:tblCellSpacing w:w="75" w:type="dxa"/>
        </w:trPr>
        <w:tc>
          <w:tcPr>
            <w:tcW w:w="0" w:type="auto"/>
            <w:vAlign w:val="center"/>
            <w:hideMark/>
          </w:tcPr>
          <w:p w:rsidR="00E22594" w:rsidRPr="00E22594" w:rsidRDefault="00E22594" w:rsidP="00E22594">
            <w:pPr>
              <w:widowControl/>
              <w:jc w:val="center"/>
              <w:rPr>
                <w:rFonts w:ascii="宋体" w:eastAsia="宋体" w:hAnsi="宋体" w:cs="宋体"/>
                <w:kern w:val="0"/>
                <w:sz w:val="24"/>
                <w:szCs w:val="24"/>
              </w:rPr>
            </w:pPr>
          </w:p>
        </w:tc>
      </w:tr>
      <w:tr w:rsidR="00E22594" w:rsidRPr="00E22594">
        <w:trPr>
          <w:tblCellSpacing w:w="75" w:type="dxa"/>
        </w:trPr>
        <w:tc>
          <w:tcPr>
            <w:tcW w:w="0" w:type="auto"/>
            <w:vAlign w:val="center"/>
            <w:hideMark/>
          </w:tcPr>
          <w:p w:rsidR="00E22594" w:rsidRPr="00E22594" w:rsidRDefault="00E22594" w:rsidP="00E22594">
            <w:pPr>
              <w:widowControl/>
              <w:jc w:val="center"/>
              <w:rPr>
                <w:rFonts w:ascii="宋体" w:eastAsia="宋体" w:hAnsi="宋体" w:cs="宋体"/>
                <w:kern w:val="0"/>
                <w:sz w:val="24"/>
                <w:szCs w:val="24"/>
              </w:rPr>
            </w:pPr>
          </w:p>
        </w:tc>
      </w:tr>
      <w:tr w:rsidR="00E22594" w:rsidRPr="00E22594">
        <w:trPr>
          <w:tblCellSpacing w:w="75" w:type="dxa"/>
        </w:trPr>
        <w:tc>
          <w:tcPr>
            <w:tcW w:w="0" w:type="auto"/>
            <w:vAlign w:val="center"/>
            <w:hideMark/>
          </w:tcPr>
          <w:p w:rsidR="00E22594" w:rsidRPr="00E22594" w:rsidRDefault="00E22594" w:rsidP="00E22594">
            <w:pPr>
              <w:widowControl/>
              <w:jc w:val="left"/>
              <w:rPr>
                <w:rFonts w:ascii="宋体" w:eastAsia="宋体" w:hAnsi="宋体" w:cs="宋体"/>
                <w:kern w:val="0"/>
                <w:sz w:val="24"/>
                <w:szCs w:val="24"/>
              </w:rPr>
            </w:pPr>
          </w:p>
        </w:tc>
      </w:tr>
    </w:tbl>
    <w:p w:rsidR="00E22594" w:rsidRPr="00E22594" w:rsidRDefault="00E22594" w:rsidP="00E22594">
      <w:pPr>
        <w:widowControl/>
        <w:jc w:val="left"/>
        <w:rPr>
          <w:rFonts w:ascii="宋体" w:eastAsia="宋体" w:hAnsi="宋体" w:cs="宋体"/>
          <w:vanish/>
          <w:kern w:val="0"/>
          <w:sz w:val="24"/>
          <w:szCs w:val="24"/>
        </w:rPr>
      </w:pPr>
    </w:p>
    <w:tbl>
      <w:tblPr>
        <w:tblW w:w="5000" w:type="pct"/>
        <w:tblCellSpacing w:w="75" w:type="dxa"/>
        <w:tblCellMar>
          <w:left w:w="0" w:type="dxa"/>
          <w:right w:w="0" w:type="dxa"/>
        </w:tblCellMar>
        <w:tblLook w:val="04A0"/>
      </w:tblPr>
      <w:tblGrid>
        <w:gridCol w:w="8606"/>
      </w:tblGrid>
      <w:tr w:rsidR="00E22594" w:rsidRPr="00E22594">
        <w:trPr>
          <w:tblCellSpacing w:w="75" w:type="dxa"/>
        </w:trPr>
        <w:tc>
          <w:tcPr>
            <w:tcW w:w="0" w:type="auto"/>
            <w:vAlign w:val="center"/>
            <w:hideMark/>
          </w:tcPr>
          <w:p w:rsidR="00E22594" w:rsidRPr="00E22594" w:rsidRDefault="00E22594" w:rsidP="00E22594">
            <w:pPr>
              <w:widowControl/>
              <w:jc w:val="right"/>
              <w:rPr>
                <w:rFonts w:ascii="宋体" w:eastAsia="宋体" w:hAnsi="宋体" w:cs="宋体"/>
                <w:kern w:val="0"/>
                <w:sz w:val="24"/>
                <w:szCs w:val="24"/>
              </w:rPr>
            </w:pPr>
          </w:p>
        </w:tc>
      </w:tr>
      <w:tr w:rsidR="00E22594" w:rsidRPr="00E22594">
        <w:trPr>
          <w:tblCellSpacing w:w="75" w:type="dxa"/>
        </w:trPr>
        <w:tc>
          <w:tcPr>
            <w:tcW w:w="0" w:type="auto"/>
            <w:vAlign w:val="center"/>
            <w:hideMark/>
          </w:tcPr>
          <w:p w:rsidR="00E22594" w:rsidRPr="00E22594" w:rsidRDefault="00E22594" w:rsidP="00E22594">
            <w:pPr>
              <w:widowControl/>
              <w:spacing w:before="100" w:beforeAutospacing="1" w:after="100" w:afterAutospacing="1"/>
              <w:jc w:val="right"/>
              <w:rPr>
                <w:rFonts w:ascii="FangSong_GB2312" w:eastAsia="FangSong_GB2312" w:hAnsi="FangSong_GB2312" w:cs="宋体"/>
                <w:kern w:val="0"/>
                <w:sz w:val="32"/>
                <w:szCs w:val="32"/>
              </w:rPr>
            </w:pPr>
            <w:r w:rsidRPr="00E22594">
              <w:rPr>
                <w:rFonts w:ascii="FangSong_GB2312" w:eastAsia="FangSong_GB2312" w:hAnsi="FangSong_GB2312" w:cs="宋体" w:hint="eastAsia"/>
                <w:kern w:val="0"/>
                <w:sz w:val="32"/>
                <w:szCs w:val="32"/>
              </w:rPr>
              <w:t>国中医药医政发〔2013〕28号</w:t>
            </w:r>
          </w:p>
          <w:p w:rsidR="00E22594" w:rsidRPr="00E22594" w:rsidRDefault="00E22594" w:rsidP="00E22594">
            <w:pPr>
              <w:widowControl/>
              <w:spacing w:before="100" w:beforeAutospacing="1" w:after="100" w:afterAutospacing="1"/>
              <w:jc w:val="left"/>
              <w:rPr>
                <w:rFonts w:ascii="FangSong_GB2312" w:eastAsia="FangSong_GB2312" w:hAnsi="FangSong_GB2312" w:cs="宋体" w:hint="eastAsia"/>
                <w:kern w:val="0"/>
                <w:sz w:val="32"/>
                <w:szCs w:val="32"/>
              </w:rPr>
            </w:pPr>
            <w:r w:rsidRPr="00E22594">
              <w:rPr>
                <w:rFonts w:ascii="FangSong_GB2312" w:eastAsia="FangSong_GB2312" w:hAnsi="FangSong_GB2312" w:cs="宋体" w:hint="eastAsia"/>
                <w:kern w:val="0"/>
                <w:sz w:val="32"/>
                <w:szCs w:val="32"/>
              </w:rPr>
              <w:t>各省、自治区、直辖市卫生厅局（卫生计生委）、中医药管理局，新疆生产建设兵团卫生局：</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传统医学师承和确有专长人员医师资格考核考试办法》（卫生部令第52号）（以下简称52号令）自2007年2月1日起实施以来，在学历教育之外为中医临床医师的培养开辟了一条新的途径，对保持和发扬中医药特色优势、推动中医药传承和发展起到了积极作用。但部分省份对文件的贯彻力度不够，对某些条款理解把握不一致，影响了52号令的实施效果。为进一步贯彻落实52号令，切实做好传统医学师承和确有专长人员医师资格考核考试工作，现就有关问题通知如下：</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一、传统医学师承和确有专长人员医师资格考核考试是国家制定的一项保障促进中医传承的重要政策，各省级中医药管理部门要高度重视此项工作，认真组织开展本辖区的传统医学师承和确有专长人员医师资格考核考试工作。同时，要加强政策宣传，做好政策解释，提高知晓率，鼓励符</w:t>
            </w:r>
            <w:r w:rsidRPr="00E22594">
              <w:rPr>
                <w:rFonts w:ascii="FangSong_GB2312" w:eastAsia="FangSong_GB2312" w:hAnsi="FangSong_GB2312" w:cs="宋体" w:hint="eastAsia"/>
                <w:kern w:val="0"/>
                <w:sz w:val="32"/>
                <w:szCs w:val="32"/>
              </w:rPr>
              <w:lastRenderedPageBreak/>
              <w:t>合条件的人员参加师承或确有专长医师资格考核考试。尚未开展此项工作的省份应进一步提高认识，务必于2013年年底前启动本辖区传统医学师承和确有专长人员医师资格考核考试工作。</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二、各省级中医药管理部门可根据52号令第十一条规定，制定跟师学习的形式、内容，并报国家中医药管理局医政司备案。各地应充分发挥各级中医药管理部门和各级医疗机构的作用，严格师承指导老师和师承人员的资格审核，运用抽查学习笔记、检查临床实践记录等方式加强对师承人员跟师学习过程的监管，防止重形式、轻内容、走过场，确保师承人员跟师学习效果。任何机构和个人不得以规模招生形式举办批量师承培训班。</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三、在非户籍地跟师学习人员，经核准其指导老师执业的卫生行政部门、中医药管理部门审核同意后，向指导老师执业所在地的省级中医药管理部门提出出师考核申请。</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四、《传统医学出师考核和确有专长考核实施方案（试行）》（国中医药发〔2007〕47号）中要求对确有专长考核的评议评价实行“选30名居民和30名患者对确有专长人员技术专长进行评议评价”，由于容易流于形式，因此停止执行此条规定。</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五、各地市级卫生行政部门和中医药管理部门应强化责任，组织实施好确有专长考核工作。对申请确有专长考</w:t>
            </w:r>
            <w:r w:rsidRPr="00E22594">
              <w:rPr>
                <w:rFonts w:ascii="FangSong_GB2312" w:eastAsia="FangSong_GB2312" w:hAnsi="FangSong_GB2312" w:cs="宋体" w:hint="eastAsia"/>
                <w:kern w:val="0"/>
                <w:sz w:val="32"/>
                <w:szCs w:val="32"/>
              </w:rPr>
              <w:lastRenderedPageBreak/>
              <w:t>核人员的资质应严格审查，确保资料真实可靠。要规范考试程序，加强对考官的培训，统一考核标准，严肃考风考纪，增大工作透明度，确保公正性和公平性，杜绝不符合要求的人员参加考核。</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六、《传统医学师承出师证书》和《传统医学医术确有专长证书》是对传统医学师承和确有专长人员具备参加国家医师资格考试资格的评价和认定，不能作为有效行医证件使用。</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七、各省级中医药管理部门应积极协调本省发展改革、财政、物价等部门，明确传统医学师承和确有专长人员考核考试收费标准，并争取一定的经费补贴。</w:t>
            </w:r>
          </w:p>
          <w:p w:rsidR="00E22594" w:rsidRPr="00E22594" w:rsidRDefault="00E22594" w:rsidP="00E22594">
            <w:pPr>
              <w:widowControl/>
              <w:spacing w:before="100" w:beforeAutospacing="1" w:after="100" w:afterAutospacing="1"/>
              <w:jc w:val="right"/>
              <w:rPr>
                <w:rFonts w:ascii="FangSong_GB2312" w:eastAsia="FangSong_GB2312" w:hAnsi="FangSong_GB2312" w:cs="宋体"/>
                <w:kern w:val="0"/>
                <w:sz w:val="32"/>
                <w:szCs w:val="32"/>
              </w:rPr>
            </w:pPr>
            <w:r w:rsidRPr="00E22594">
              <w:rPr>
                <w:rFonts w:ascii="FangSong_GB2312" w:eastAsia="FangSong_GB2312" w:hAnsi="FangSong_GB2312" w:cs="宋体" w:hint="eastAsia"/>
                <w:kern w:val="0"/>
                <w:sz w:val="32"/>
                <w:szCs w:val="32"/>
              </w:rPr>
              <w:br/>
              <w:t>国家卫生和计划生育委员会</w:t>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w:t>
            </w:r>
            <w:r w:rsidRPr="00E22594">
              <w:rPr>
                <w:rFonts w:ascii="FangSong_GB2312" w:eastAsia="FangSong_GB2312" w:hAnsi="FangSong_GB2312" w:cs="宋体" w:hint="eastAsia"/>
                <w:kern w:val="0"/>
                <w:sz w:val="32"/>
                <w:szCs w:val="32"/>
              </w:rPr>
              <w:t>国家中医药管理局</w:t>
            </w:r>
            <w:r w:rsidRPr="00E22594">
              <w:rPr>
                <w:rFonts w:ascii="FangSong_GB2312" w:eastAsia="FangSong_GB2312" w:hAnsi="FangSong_GB2312" w:cs="宋体" w:hint="eastAsia"/>
                <w:kern w:val="0"/>
                <w:sz w:val="32"/>
                <w:szCs w:val="32"/>
              </w:rPr>
              <w:br/>
              <w:t>2013年4月24日</w:t>
            </w:r>
            <w:r w:rsidRPr="00E22594">
              <w:rPr>
                <w:rFonts w:ascii="宋体" w:eastAsia="宋体" w:hAnsi="宋体" w:cs="宋体" w:hint="eastAsia"/>
                <w:kern w:val="0"/>
                <w:sz w:val="32"/>
                <w:szCs w:val="32"/>
              </w:rPr>
              <w:t>                           </w:t>
            </w:r>
            <w:r w:rsidRPr="00E22594">
              <w:rPr>
                <w:rFonts w:ascii="FangSong_GB2312" w:eastAsia="FangSong_GB2312" w:hAnsi="FangSong_GB2312" w:cs="FangSong_GB2312" w:hint="eastAsia"/>
                <w:kern w:val="0"/>
                <w:sz w:val="32"/>
                <w:szCs w:val="32"/>
              </w:rPr>
              <w:t xml:space="preserve"> 2013</w:t>
            </w:r>
            <w:r w:rsidRPr="00E22594">
              <w:rPr>
                <w:rFonts w:ascii="FangSong_GB2312" w:eastAsia="FangSong_GB2312" w:hAnsi="FangSong_GB2312" w:cs="宋体" w:hint="eastAsia"/>
                <w:kern w:val="0"/>
                <w:sz w:val="32"/>
                <w:szCs w:val="32"/>
              </w:rPr>
              <w:t>年4月24日</w:t>
            </w:r>
            <w:r w:rsidRPr="00E22594">
              <w:rPr>
                <w:rFonts w:ascii="FangSong_GB2312" w:eastAsia="FangSong_GB2312" w:hAnsi="FangSong_GB2312" w:cs="宋体" w:hint="eastAsia"/>
                <w:kern w:val="0"/>
                <w:sz w:val="32"/>
                <w:szCs w:val="32"/>
              </w:rPr>
              <w:br/>
            </w:r>
            <w:r w:rsidRPr="00E22594">
              <w:rPr>
                <w:rFonts w:ascii="宋体" w:eastAsia="宋体" w:hAnsi="宋体" w:cs="宋体" w:hint="eastAsia"/>
                <w:kern w:val="0"/>
                <w:sz w:val="32"/>
                <w:szCs w:val="32"/>
              </w:rPr>
              <w:t> </w:t>
            </w:r>
          </w:p>
        </w:tc>
      </w:tr>
    </w:tbl>
    <w:p w:rsidR="00B20535" w:rsidRPr="00E22594" w:rsidRDefault="00B20535"/>
    <w:sectPr w:rsidR="00B20535" w:rsidRPr="00E225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535" w:rsidRDefault="00B20535" w:rsidP="00E22594">
      <w:r>
        <w:separator/>
      </w:r>
    </w:p>
  </w:endnote>
  <w:endnote w:type="continuationSeparator" w:id="1">
    <w:p w:rsidR="00B20535" w:rsidRDefault="00B20535" w:rsidP="00E22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panose1 w:val="00000000000000000000"/>
    <w:charset w:val="00"/>
    <w:family w:val="roman"/>
    <w:notTrueType/>
    <w:pitch w:val="default"/>
    <w:sig w:usb0="00000000" w:usb1="00000000" w:usb2="00000000" w:usb3="00000000" w:csb0="00000000" w:csb1="00000000"/>
  </w:font>
  <w:font w:name="FangSong_GB2312">
    <w:panose1 w:val="0201060906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535" w:rsidRDefault="00B20535" w:rsidP="00E22594">
      <w:r>
        <w:separator/>
      </w:r>
    </w:p>
  </w:footnote>
  <w:footnote w:type="continuationSeparator" w:id="1">
    <w:p w:rsidR="00B20535" w:rsidRDefault="00B20535" w:rsidP="00E22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594"/>
    <w:rsid w:val="00B20535"/>
    <w:rsid w:val="00E22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594"/>
    <w:rPr>
      <w:sz w:val="18"/>
      <w:szCs w:val="18"/>
    </w:rPr>
  </w:style>
  <w:style w:type="paragraph" w:styleId="a4">
    <w:name w:val="footer"/>
    <w:basedOn w:val="a"/>
    <w:link w:val="Char0"/>
    <w:uiPriority w:val="99"/>
    <w:semiHidden/>
    <w:unhideWhenUsed/>
    <w:rsid w:val="00E225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594"/>
    <w:rPr>
      <w:sz w:val="18"/>
      <w:szCs w:val="18"/>
    </w:rPr>
  </w:style>
  <w:style w:type="character" w:customStyle="1" w:styleId="nrbt1">
    <w:name w:val="nrbt1"/>
    <w:basedOn w:val="a0"/>
    <w:rsid w:val="00E22594"/>
    <w:rPr>
      <w:rFonts w:ascii="FZXiaoBiaoSong-B05S" w:hAnsi="FZXiaoBiaoSong-B05S" w:hint="default"/>
      <w:color w:val="244FA2"/>
      <w:sz w:val="44"/>
      <w:szCs w:val="44"/>
    </w:rPr>
  </w:style>
  <w:style w:type="character" w:customStyle="1" w:styleId="fbsj1">
    <w:name w:val="fbsj1"/>
    <w:basedOn w:val="a0"/>
    <w:rsid w:val="00E22594"/>
    <w:rPr>
      <w:color w:val="A0A0A0"/>
      <w:sz w:val="21"/>
      <w:szCs w:val="21"/>
    </w:rPr>
  </w:style>
  <w:style w:type="paragraph" w:styleId="a5">
    <w:name w:val="Normal (Web)"/>
    <w:basedOn w:val="a"/>
    <w:uiPriority w:val="99"/>
    <w:unhideWhenUsed/>
    <w:rsid w:val="00E225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1118</Characters>
  <Application>Microsoft Office Word</Application>
  <DocSecurity>0</DocSecurity>
  <Lines>9</Lines>
  <Paragraphs>2</Paragraphs>
  <ScaleCrop>false</ScaleCrop>
  <Company>Microsoft</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2019-10-16T05:25:00Z</dcterms:created>
  <dcterms:modified xsi:type="dcterms:W3CDTF">2019-10-16T05:25:00Z</dcterms:modified>
</cp:coreProperties>
</file>