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3"/>
        <w:gridCol w:w="1897"/>
        <w:gridCol w:w="2159"/>
        <w:gridCol w:w="1052"/>
        <w:gridCol w:w="905"/>
      </w:tblGrid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细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目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要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要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科目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一、血液样本采集和血涂片制备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血液生理概要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）血液组成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）血液理化性质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）血液特性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）血液生理功能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采血方法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）静脉采血法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）皮肤采血法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）真空采血法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med66.com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抗凝剂选择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血液涂片制备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）载玻片的清洁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）血涂片的制备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血液细胞染色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）瑞氏染色法医学教育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|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网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）吉姆萨染色法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方法学评价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）血涂片制备医学教育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|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网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）血液细胞染色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质量控制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）血涂片制备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）血液细胞染色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二、红细胞检查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概要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）红细胞生理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）血红蛋白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红细胞计数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血红蛋白测定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）氰化高铁血红蛋白测定法操作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红细胞形态检查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血细胞比容测定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红细胞平均指数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）方法学评价医学教育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|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网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红细胞体积分布宽度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8.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网织红细胞计数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9.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点彩红细胞计数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10.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红细胞沉降率测定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三、白细胞检查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概要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）粒细胞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）单核细胞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）淋巴细胞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白细胞计数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白细胞分类计数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）方法学评价医学教育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|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网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嗜酸性粒细胞计数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白细胞形态检查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330"/>
          <w:tblCellSpacing w:w="0" w:type="dxa"/>
          <w:jc w:val="center"/>
        </w:trPr>
        <w:tc>
          <w:tcPr>
            <w:tcW w:w="1147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noProof/>
                <w:kern w:val="0"/>
                <w:szCs w:val="21"/>
              </w:rPr>
              <w:drawing>
                <wp:inline distT="0" distB="0" distL="0" distR="0">
                  <wp:extent cx="5886450" cy="4352925"/>
                  <wp:effectExtent l="19050" t="0" r="0" b="0"/>
                  <wp:docPr id="1" name="图片 1" descr="2016检验技士考试大纲-临床检验基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检验技士考试大纲-临床检验基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43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312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312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312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312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312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五、血型和输血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红细胞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AB0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血型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lastRenderedPageBreak/>
              <w:t>系统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ABO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血型系统的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lastRenderedPageBreak/>
              <w:t>抗原及抗体检查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ABO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血型系统的亚型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ABO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血型鉴定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）交叉配血法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ABO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血型鉴定及交叉配血中常见错误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ABO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血型系统主要临床意义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红细胞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Rh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血型系统检查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Rh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系统的命名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Rh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的抗原与抗体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Rh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系统血型鉴定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）交叉配血法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Rh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血型系统临床意义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新生儿溶血病检查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）新生儿溶血病的发病机制与临床表现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）新生儿溶血病实验室检查及诊断依据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自动化血型分析仪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）主要用途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）检测特点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人类白细胞抗原检查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HLA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抗原和抗体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HLA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分型方法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HLA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检测临床意义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血小板血型系统检查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）血小板抗原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）血小板抗体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血液保存液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）血液保存液的主要成分与作用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）贮存温度和时间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8.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输血与输血反应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）输血适应证、输血种类与选择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）输血不良反应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）输血传播性疾病及预防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六、尿液生成和标本采集及处理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尿液生成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）肾组织基本结构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）尿液生成机制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尿液检验目的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尿标本采集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）患者准备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）标本容器准备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）尿标本采集种类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）尿标本采集质量管理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尿标本处理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）尿标本保存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七、尿理学检验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尿颜色和透明度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尿比密测定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尿渗量测定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）定义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尿气味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）正常尿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）病理性尿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八、尿有形成分检查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检测方法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尿细胞检查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）红细胞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）白细胞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）上皮细胞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）吞噬细胞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）其他细胞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尿管型检查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）管型形成机制和条件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）管型种类、形态和临床意义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尿结晶检查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）尿结晶形成和检查方法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）生理性结晶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）病理性结晶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尿沉渣定量检查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）方法学评价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小时尿中有形成分计数操作方法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九、尿液化学检查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尿液酸碱度测定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）定义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尿液蛋白质检查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）定义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尿液糖检查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）定义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尿液酮体检查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）定义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尿液胆红素检查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尿液尿胆原和尿胆素检查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尿血红蛋白检查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8.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尿液本周蛋白检查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9.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尿液微量清蛋白测定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10.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尿液蛋白电泳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尿液肌红蛋白检查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β2-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微球蛋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lastRenderedPageBreak/>
              <w:t>白测定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尿液人绒毛膜促性腺激素检查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 xml:space="preserve">Tamm - Horsfall 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蛋白测定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医学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|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教育网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α1-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微球蛋白测定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16.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尿液纤维蛋白降解产物检查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17.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尿乳糜液和脂肪检查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）检测方法及评价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）参考值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18.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其它化学物质检查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）尿液免疫球蛋白及补体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C3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）尿氨基酸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）尿含铁血黄素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）卟啉尿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十、尿液分析仪及其临床应用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尿液干化学分析仪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）分类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）尿液分析仪检测参数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）临床应用及注意事项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）仪器维护与保养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尿有形成分分析仪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）检测原理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）检测参数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14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方法学评价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）尿干化学分析仪检查与显微镜检查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14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）尿沉渣分析仪检查与显微镜检查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十一、粪便检验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标本采集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）概述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）标本容器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理学检查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）外观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）寄生虫与结石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化学检查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）隐血试验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）脂肪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）胆色素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显微镜检查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）操作方法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）食物残渣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）结晶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）病原生物检查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）粪便分析工作站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质量控制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）标本采集与运送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）显微镜检验的质量控制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）隐血试验的质量控制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十二、脑脊液检验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标本采集与处理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）脑脊液检验的适应证和禁忌证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）标本采集与处理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理学检查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）颜色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）透明度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）凝固性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）比密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显微镜检查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）细胞计数与分类计数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化学与免疫学检查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）蛋白质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）葡萄糖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）氯化物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病原生物学检查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）细菌学检查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）寄生虫检查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质量控制与临床应用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十三、浆膜腔积液检验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胸腔、腹腔和心包腔积液检查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）标本采集与保存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）理学检查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）化学检查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）显微镜检验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关节腔积液检查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）标本采集与保存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）理学检查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）化学检查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）显微镜检查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）病原生物学检查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）临床应用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十四、精液检查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标本采集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理学检查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）精液外观和气味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）精液量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）精液液化时间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）精液粘稠度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）精液酸碱度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化学检查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）精浆果糖测定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）精浆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α-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葡糖苷酶测定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14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）精浆乳酸脱氢酶同工酶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LD-X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）测定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）精浆酸性磷酸酶测定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显微镜检查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）涂片检查方法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）涂片检测指标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）精子计数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）精子形态检查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）其他细胞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免疫学检查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）抗精子抗体检查方法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hyperlink r:id="rId7" w:tgtFrame="_blank" w:tooltip="微生物学" w:history="1">
              <w:r w:rsidRPr="00706875">
                <w:rPr>
                  <w:rFonts w:ascii="Arial" w:eastAsia="宋体" w:hAnsi="Arial" w:cs="Arial"/>
                  <w:color w:val="0000FF"/>
                  <w:kern w:val="0"/>
                  <w:u w:val="single"/>
                </w:rPr>
                <w:t>6.</w:t>
              </w:r>
              <w:r w:rsidRPr="00706875">
                <w:rPr>
                  <w:rFonts w:ascii="Arial" w:eastAsia="宋体" w:hAnsi="Arial" w:cs="Arial"/>
                  <w:color w:val="0000FF"/>
                  <w:kern w:val="0"/>
                  <w:u w:val="single"/>
                </w:rPr>
                <w:t>微生物学检查</w:t>
              </w:r>
            </w:hyperlink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精子功能检查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）精子低渗肿胀试验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8.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计算机辅助精子分析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9.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精液检查的质量控制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十五、前列腺液检查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标本采集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理学检查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）外观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）酸碱度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显微镜检查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）检查方法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）染色检查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染色检查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非染色检查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）微生物学检查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十六、阴道分泌物检查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标本采集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一般性状检查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）外观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pH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清洁度检查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）检查方法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）临床意义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病原学检查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）阴道毛滴虫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）真菌检查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）加德纳菌检查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）淋球菌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）衣原体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阴道分泌物检查的质量控制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医学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|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教育网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十七、羊水检查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概述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）适应证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羊水理化检查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）羊水理学检查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）羊水化学检查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胎儿成熟度检验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）胎儿肺成熟度检查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）胎儿肾成熟度检查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）胎儿肝成熟度检查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）胎儿皮脂腺成熟度检查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1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）胎儿唾液腺成熟度检查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先天性遗传性疾病产前诊断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）产前诊断概念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）先天性遗传性疾病产前诊断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十八、脱落细胞检查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概述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）脱落细胞学概念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）脱落细胞学检查的优点和不足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正常脱落细胞形态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）正常脱落上皮细胞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）脱落上皮细胞的退化变性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良性病变的上皮细胞形态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）上皮细胞的增生、再生和化生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8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）上皮细胞的炎症变性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）核异质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）异常角化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肿瘤脱落细胞形态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）恶性肿瘤细胞的主要形态特征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熟练掌握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）恶性肿瘤细胞涂片中背景成分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）癌细胞与核异质细胞的鉴别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）常见癌细胞类型形态特征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标本采集与涂片制作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）标本采集主要方法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）常用的涂片制作方法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）固定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）常用染色方法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显微镜检查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）涂片观察方法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）报告方式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）质量控制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阴道脱落细胞检查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）正常脱落上皮细胞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）正常脱落非上皮细胞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）阴道上皮与卵巢功能关系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）女性一生中各阶段阴道脱落细胞表现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）阴道炎症细胞学改变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）宫颈癌及癌前病变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）阴道细胞学的诊断结果报告方式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8.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浆膜腔积液脱落细胞检查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）良性病变脱落细胞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）恶性病变脱落细胞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9.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泌尿系统脱落细胞检查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）尿液正常脱落细胞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）泌尿系统良性病变脱落细胞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）泌尿系统常见恶性肿瘤脱落细胞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10.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痰液脱落细胞检查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）标本采集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）肺部良性病变脱落细胞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706875" w:rsidRPr="00706875" w:rsidTr="00706875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）肺部原发性肺癌脱落细胞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75" w:rsidRPr="00706875" w:rsidRDefault="00706875" w:rsidP="00706875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706875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，</w:t>
            </w:r>
            <w:r w:rsidRPr="00706875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</w:tbl>
    <w:p w:rsidR="00AA7BAF" w:rsidRPr="00706875" w:rsidRDefault="00AA7BAF" w:rsidP="00706875"/>
    <w:sectPr w:rsidR="00AA7BAF" w:rsidRPr="00706875" w:rsidSect="00AA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05" w:rsidRDefault="00223805" w:rsidP="00320911">
      <w:r>
        <w:separator/>
      </w:r>
    </w:p>
  </w:endnote>
  <w:endnote w:type="continuationSeparator" w:id="0">
    <w:p w:rsidR="00223805" w:rsidRDefault="00223805" w:rsidP="0032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05" w:rsidRDefault="00223805" w:rsidP="00320911">
      <w:r>
        <w:separator/>
      </w:r>
    </w:p>
  </w:footnote>
  <w:footnote w:type="continuationSeparator" w:id="0">
    <w:p w:rsidR="00223805" w:rsidRDefault="00223805" w:rsidP="00320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911"/>
    <w:rsid w:val="00223805"/>
    <w:rsid w:val="00320911"/>
    <w:rsid w:val="00706875"/>
    <w:rsid w:val="00AA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9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68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875"/>
    <w:rPr>
      <w:color w:val="0000FF"/>
      <w:u w:val="single"/>
    </w:rPr>
  </w:style>
  <w:style w:type="paragraph" w:customStyle="1" w:styleId="bold">
    <w:name w:val="bold"/>
    <w:basedOn w:val="a"/>
    <w:rsid w:val="007068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itle">
    <w:name w:val="title"/>
    <w:basedOn w:val="a"/>
    <w:rsid w:val="007068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3300"/>
      <w:kern w:val="0"/>
      <w:sz w:val="27"/>
      <w:szCs w:val="27"/>
    </w:rPr>
  </w:style>
  <w:style w:type="paragraph" w:customStyle="1" w:styleId="code">
    <w:name w:val="code"/>
    <w:basedOn w:val="a"/>
    <w:rsid w:val="00706875"/>
    <w:pPr>
      <w:widowControl/>
      <w:pBdr>
        <w:top w:val="single" w:sz="6" w:space="0" w:color="8B4513"/>
        <w:left w:val="single" w:sz="6" w:space="4" w:color="8B4513"/>
        <w:bottom w:val="single" w:sz="6" w:space="0" w:color="8B4513"/>
        <w:right w:val="single" w:sz="6" w:space="4" w:color="8B4513"/>
      </w:pBdr>
      <w:shd w:val="clear" w:color="auto" w:fill="FF9933"/>
      <w:spacing w:before="100" w:beforeAutospacing="1" w:after="100" w:afterAutospacing="1"/>
      <w:jc w:val="left"/>
    </w:pPr>
    <w:rPr>
      <w:rFonts w:ascii="Courier New" w:eastAsia="宋体" w:hAnsi="Courier New" w:cs="Courier New"/>
      <w:color w:val="000066"/>
      <w:kern w:val="0"/>
      <w:sz w:val="24"/>
      <w:szCs w:val="24"/>
    </w:rPr>
  </w:style>
  <w:style w:type="paragraph" w:customStyle="1" w:styleId="fckflash">
    <w:name w:val="fck__flash"/>
    <w:basedOn w:val="a"/>
    <w:rsid w:val="00706875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">
    <w:name w:val="fck__anchor"/>
    <w:basedOn w:val="a"/>
    <w:rsid w:val="007068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pagebreak">
    <w:name w:val="fck__pagebreak"/>
    <w:basedOn w:val="a"/>
    <w:rsid w:val="00706875"/>
    <w:pPr>
      <w:widowControl/>
      <w:pBdr>
        <w:top w:val="dotted" w:sz="6" w:space="0" w:color="999999"/>
        <w:bottom w:val="dott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068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068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68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web/weishengwux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2015-12-04T06:08:00Z</dcterms:created>
  <dcterms:modified xsi:type="dcterms:W3CDTF">2015-12-04T06:32:00Z</dcterms:modified>
</cp:coreProperties>
</file>