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8D" w:rsidRDefault="00CA108D" w:rsidP="00CA108D">
      <w:pPr>
        <w:pStyle w:val="a6"/>
        <w:spacing w:line="330" w:lineRule="atLeast"/>
        <w:rPr>
          <w:rFonts w:ascii="Arial" w:hAnsi="Arial" w:cs="Arial"/>
          <w:sz w:val="21"/>
          <w:szCs w:val="21"/>
        </w:rPr>
      </w:pPr>
      <w:r>
        <w:rPr>
          <w:rFonts w:ascii="Arial" w:hAnsi="Arial" w:cs="Arial"/>
          <w:sz w:val="21"/>
          <w:szCs w:val="21"/>
        </w:rPr>
        <w:t>到</w:t>
      </w:r>
      <w:r>
        <w:rPr>
          <w:rFonts w:ascii="Arial" w:hAnsi="Arial" w:cs="Arial"/>
          <w:sz w:val="21"/>
          <w:szCs w:val="21"/>
        </w:rPr>
        <w:t>2016</w:t>
      </w:r>
      <w:r>
        <w:rPr>
          <w:rFonts w:ascii="Arial" w:hAnsi="Arial" w:cs="Arial"/>
          <w:sz w:val="21"/>
          <w:szCs w:val="21"/>
        </w:rPr>
        <w:t>年，分级诊疗工作应当达到以下标准：</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一、出台推进分级诊疗工作相关配套政策，规范分级诊疗转诊流程，制定疾病分级诊疗指南；</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二、基层医疗卫生机构建设达标率</w:t>
      </w:r>
      <w:r>
        <w:rPr>
          <w:rFonts w:ascii="Arial" w:hAnsi="Arial" w:cs="Arial"/>
          <w:sz w:val="21"/>
          <w:szCs w:val="21"/>
        </w:rPr>
        <w:t>≥92%</w:t>
      </w:r>
      <w:r>
        <w:rPr>
          <w:rFonts w:ascii="Arial" w:hAnsi="Arial" w:cs="Arial"/>
          <w:sz w:val="21"/>
          <w:szCs w:val="21"/>
        </w:rPr>
        <w:t>，基层医疗卫生机构诊疗量占总诊疗量比例</w:t>
      </w:r>
      <w:r>
        <w:rPr>
          <w:rFonts w:ascii="Arial" w:hAnsi="Arial" w:cs="Arial"/>
          <w:sz w:val="21"/>
          <w:szCs w:val="21"/>
        </w:rPr>
        <w:t>≥68%</w:t>
      </w:r>
      <w:r>
        <w:rPr>
          <w:rFonts w:ascii="Arial" w:hAnsi="Arial" w:cs="Arial"/>
          <w:sz w:val="21"/>
          <w:szCs w:val="21"/>
        </w:rPr>
        <w:t>；</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三、县域内就诊率达到</w:t>
      </w:r>
      <w:r>
        <w:rPr>
          <w:rFonts w:ascii="Arial" w:hAnsi="Arial" w:cs="Arial"/>
          <w:sz w:val="21"/>
          <w:szCs w:val="21"/>
        </w:rPr>
        <w:t>88%</w:t>
      </w:r>
      <w:r>
        <w:rPr>
          <w:rFonts w:ascii="Arial" w:hAnsi="Arial" w:cs="Arial"/>
          <w:sz w:val="21"/>
          <w:szCs w:val="21"/>
        </w:rPr>
        <w:t>左右；</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四、由二、三级医院向基层医疗卫生机构、慢性病医疗机构转诊的人数年增长率在</w:t>
      </w:r>
      <w:r>
        <w:rPr>
          <w:rFonts w:ascii="Arial" w:hAnsi="Arial" w:cs="Arial"/>
          <w:sz w:val="21"/>
          <w:szCs w:val="21"/>
        </w:rPr>
        <w:t>10%</w:t>
      </w:r>
      <w:r>
        <w:rPr>
          <w:rFonts w:ascii="Arial" w:hAnsi="Arial" w:cs="Arial"/>
          <w:sz w:val="21"/>
          <w:szCs w:val="21"/>
        </w:rPr>
        <w:t>以上；</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五、社区卫生服务中心、乡镇卫生院与二、三级医院建立稳定的技术帮扶和分工协作关系的比例</w:t>
      </w:r>
      <w:r>
        <w:rPr>
          <w:rFonts w:ascii="Arial" w:hAnsi="Arial" w:cs="Arial"/>
          <w:sz w:val="21"/>
          <w:szCs w:val="21"/>
        </w:rPr>
        <w:t>≥70%</w:t>
      </w:r>
      <w:r>
        <w:rPr>
          <w:rFonts w:ascii="Arial" w:hAnsi="Arial" w:cs="Arial"/>
          <w:sz w:val="21"/>
          <w:szCs w:val="21"/>
        </w:rPr>
        <w:t>；</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六、城市高血压、糖尿病患者规范化诊疗和管理率分别达到</w:t>
      </w:r>
      <w:r>
        <w:rPr>
          <w:rFonts w:ascii="Arial" w:hAnsi="Arial" w:cs="Arial"/>
          <w:sz w:val="21"/>
          <w:szCs w:val="21"/>
        </w:rPr>
        <w:t>38%</w:t>
      </w:r>
      <w:r>
        <w:rPr>
          <w:rFonts w:ascii="Arial" w:hAnsi="Arial" w:cs="Arial"/>
          <w:sz w:val="21"/>
          <w:szCs w:val="21"/>
        </w:rPr>
        <w:t>、</w:t>
      </w:r>
      <w:r>
        <w:rPr>
          <w:rFonts w:ascii="Arial" w:hAnsi="Arial" w:cs="Arial"/>
          <w:sz w:val="21"/>
          <w:szCs w:val="21"/>
        </w:rPr>
        <w:t>35%</w:t>
      </w:r>
      <w:r>
        <w:rPr>
          <w:rFonts w:ascii="Arial" w:hAnsi="Arial" w:cs="Arial"/>
          <w:sz w:val="21"/>
          <w:szCs w:val="21"/>
        </w:rPr>
        <w:t>以上；</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七、提供中医药服务的社区卫生服务中心、乡镇卫生院、社区卫生服务站、村卫生室占同类机构之比分别达到</w:t>
      </w:r>
      <w:r>
        <w:rPr>
          <w:rFonts w:ascii="Arial" w:hAnsi="Arial" w:cs="Arial"/>
          <w:sz w:val="21"/>
          <w:szCs w:val="21"/>
        </w:rPr>
        <w:t>95%</w:t>
      </w:r>
      <w:r>
        <w:rPr>
          <w:rFonts w:ascii="Arial" w:hAnsi="Arial" w:cs="Arial"/>
          <w:sz w:val="21"/>
          <w:szCs w:val="21"/>
        </w:rPr>
        <w:t>、</w:t>
      </w:r>
      <w:r>
        <w:rPr>
          <w:rFonts w:ascii="Arial" w:hAnsi="Arial" w:cs="Arial"/>
          <w:sz w:val="21"/>
          <w:szCs w:val="21"/>
        </w:rPr>
        <w:t>95%</w:t>
      </w:r>
      <w:r>
        <w:rPr>
          <w:rFonts w:ascii="Arial" w:hAnsi="Arial" w:cs="Arial"/>
          <w:sz w:val="21"/>
          <w:szCs w:val="21"/>
        </w:rPr>
        <w:t>、</w:t>
      </w:r>
      <w:r>
        <w:rPr>
          <w:rFonts w:ascii="Arial" w:hAnsi="Arial" w:cs="Arial"/>
          <w:sz w:val="21"/>
          <w:szCs w:val="21"/>
        </w:rPr>
        <w:t>80%</w:t>
      </w:r>
      <w:r>
        <w:rPr>
          <w:rFonts w:ascii="Arial" w:hAnsi="Arial" w:cs="Arial"/>
          <w:sz w:val="21"/>
          <w:szCs w:val="21"/>
        </w:rPr>
        <w:t>、</w:t>
      </w:r>
      <w:r>
        <w:rPr>
          <w:rFonts w:ascii="Arial" w:hAnsi="Arial" w:cs="Arial"/>
          <w:sz w:val="21"/>
          <w:szCs w:val="21"/>
        </w:rPr>
        <w:t>65%</w:t>
      </w:r>
      <w:r>
        <w:rPr>
          <w:rFonts w:ascii="Arial" w:hAnsi="Arial" w:cs="Arial"/>
          <w:sz w:val="21"/>
          <w:szCs w:val="21"/>
        </w:rPr>
        <w:t>，基层医疗卫生机构中医诊疗量占同类机构诊疗总量比例</w:t>
      </w:r>
      <w:r>
        <w:rPr>
          <w:rFonts w:ascii="Arial" w:hAnsi="Arial" w:cs="Arial"/>
          <w:sz w:val="21"/>
          <w:szCs w:val="21"/>
        </w:rPr>
        <w:t xml:space="preserve">≥25%.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到</w:t>
      </w:r>
      <w:r>
        <w:rPr>
          <w:rFonts w:ascii="Arial" w:hAnsi="Arial" w:cs="Arial"/>
          <w:sz w:val="21"/>
          <w:szCs w:val="21"/>
        </w:rPr>
        <w:t>2017</w:t>
      </w:r>
      <w:r>
        <w:rPr>
          <w:rFonts w:ascii="Arial" w:hAnsi="Arial" w:cs="Arial"/>
          <w:sz w:val="21"/>
          <w:szCs w:val="21"/>
        </w:rPr>
        <w:t>年，分级诊疗工作应当达到以下标准：</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一、基层医疗卫生机构建设达标率</w:t>
      </w:r>
      <w:r>
        <w:rPr>
          <w:rFonts w:ascii="Arial" w:hAnsi="Arial" w:cs="Arial"/>
          <w:sz w:val="21"/>
          <w:szCs w:val="21"/>
        </w:rPr>
        <w:t>≥95%</w:t>
      </w:r>
      <w:r>
        <w:rPr>
          <w:rFonts w:ascii="Arial" w:hAnsi="Arial" w:cs="Arial"/>
          <w:sz w:val="21"/>
          <w:szCs w:val="21"/>
        </w:rPr>
        <w:t>，基层医疗卫生机构诊疗量占总诊疗量比例</w:t>
      </w:r>
      <w:r>
        <w:rPr>
          <w:rFonts w:ascii="Arial" w:hAnsi="Arial" w:cs="Arial"/>
          <w:sz w:val="21"/>
          <w:szCs w:val="21"/>
        </w:rPr>
        <w:t>≥70%</w:t>
      </w:r>
      <w:r>
        <w:rPr>
          <w:rFonts w:ascii="Arial" w:hAnsi="Arial" w:cs="Arial"/>
          <w:sz w:val="21"/>
          <w:szCs w:val="21"/>
        </w:rPr>
        <w:t>；</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二、</w:t>
      </w:r>
      <w:r>
        <w:rPr>
          <w:rFonts w:ascii="Arial" w:hAnsi="Arial" w:cs="Arial"/>
          <w:sz w:val="21"/>
          <w:szCs w:val="21"/>
        </w:rPr>
        <w:t>30</w:t>
      </w:r>
      <w:r>
        <w:rPr>
          <w:rFonts w:ascii="Arial" w:hAnsi="Arial" w:cs="Arial"/>
          <w:sz w:val="21"/>
          <w:szCs w:val="21"/>
        </w:rPr>
        <w:t>万以上人口的县至少拥有一所二级甲等综合医院和一所二级甲等中医医院，县域内就诊率提高到</w:t>
      </w:r>
      <w:r>
        <w:rPr>
          <w:rFonts w:ascii="Arial" w:hAnsi="Arial" w:cs="Arial"/>
          <w:sz w:val="21"/>
          <w:szCs w:val="21"/>
        </w:rPr>
        <w:t>90%</w:t>
      </w:r>
      <w:r>
        <w:rPr>
          <w:rFonts w:ascii="Arial" w:hAnsi="Arial" w:cs="Arial"/>
          <w:sz w:val="21"/>
          <w:szCs w:val="21"/>
        </w:rPr>
        <w:t>左右，基本实现大病不出县；</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三、每万名城市居民拥有</w:t>
      </w:r>
      <w:r>
        <w:rPr>
          <w:rFonts w:ascii="Arial" w:hAnsi="Arial" w:cs="Arial"/>
          <w:sz w:val="21"/>
          <w:szCs w:val="21"/>
        </w:rPr>
        <w:t>2</w:t>
      </w:r>
      <w:r>
        <w:rPr>
          <w:rFonts w:ascii="Arial" w:hAnsi="Arial" w:cs="Arial"/>
          <w:sz w:val="21"/>
          <w:szCs w:val="21"/>
        </w:rPr>
        <w:t>名以上全科医生，每个乡镇卫生院拥有</w:t>
      </w:r>
      <w:r>
        <w:rPr>
          <w:rFonts w:ascii="Arial" w:hAnsi="Arial" w:cs="Arial"/>
          <w:sz w:val="21"/>
          <w:szCs w:val="21"/>
        </w:rPr>
        <w:t>1</w:t>
      </w:r>
      <w:r>
        <w:rPr>
          <w:rFonts w:ascii="Arial" w:hAnsi="Arial" w:cs="Arial"/>
          <w:sz w:val="21"/>
          <w:szCs w:val="21"/>
        </w:rPr>
        <w:t>名以上全科医生，城市全科医生签约服务覆盖率</w:t>
      </w:r>
      <w:r>
        <w:rPr>
          <w:rFonts w:ascii="Arial" w:hAnsi="Arial" w:cs="Arial"/>
          <w:sz w:val="21"/>
          <w:szCs w:val="21"/>
        </w:rPr>
        <w:t>≥30%</w:t>
      </w:r>
      <w:r>
        <w:rPr>
          <w:rFonts w:ascii="Arial" w:hAnsi="Arial" w:cs="Arial"/>
          <w:sz w:val="21"/>
          <w:szCs w:val="21"/>
        </w:rPr>
        <w:t>；</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四、居民</w:t>
      </w:r>
      <w:r>
        <w:rPr>
          <w:rFonts w:ascii="Arial" w:hAnsi="Arial" w:cs="Arial"/>
          <w:sz w:val="21"/>
          <w:szCs w:val="21"/>
        </w:rPr>
        <w:t>2</w:t>
      </w:r>
      <w:r>
        <w:rPr>
          <w:rFonts w:ascii="Arial" w:hAnsi="Arial" w:cs="Arial"/>
          <w:sz w:val="21"/>
          <w:szCs w:val="21"/>
        </w:rPr>
        <w:t>周患病首选基层医疗卫生机构的比例</w:t>
      </w:r>
      <w:r>
        <w:rPr>
          <w:rFonts w:ascii="Arial" w:hAnsi="Arial" w:cs="Arial"/>
          <w:sz w:val="21"/>
          <w:szCs w:val="21"/>
        </w:rPr>
        <w:t>≥70%</w:t>
      </w:r>
      <w:r>
        <w:rPr>
          <w:rFonts w:ascii="Arial" w:hAnsi="Arial" w:cs="Arial"/>
          <w:sz w:val="21"/>
          <w:szCs w:val="21"/>
        </w:rPr>
        <w:t>；</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五、各县（市、区）发行居民健康卡，辖区内医疗卫生机构实现应用；</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六、远程医疗服务覆盖所辖县（市、区），辖区内已完成远程医疗系统建设的医疗机构全部接入省级远程医疗服务与监管平台；</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七、整合现有医疗卫生信息系统，完善分级诊疗信息管理功能，基本覆盖所有二、三级医院和</w:t>
      </w:r>
      <w:r>
        <w:rPr>
          <w:rFonts w:ascii="Arial" w:hAnsi="Arial" w:cs="Arial"/>
          <w:sz w:val="21"/>
          <w:szCs w:val="21"/>
        </w:rPr>
        <w:t>80%</w:t>
      </w:r>
      <w:r>
        <w:rPr>
          <w:rFonts w:ascii="Arial" w:hAnsi="Arial" w:cs="Arial"/>
          <w:sz w:val="21"/>
          <w:szCs w:val="21"/>
        </w:rPr>
        <w:t>以上的乡镇卫生院和社区卫生服务中心；</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八、由二、三级医院向基层医疗卫生机构、慢性病医疗机构转诊的人数年增长率在</w:t>
      </w:r>
      <w:r>
        <w:rPr>
          <w:rFonts w:ascii="Arial" w:hAnsi="Arial" w:cs="Arial"/>
          <w:sz w:val="21"/>
          <w:szCs w:val="21"/>
        </w:rPr>
        <w:t>10%</w:t>
      </w:r>
      <w:r>
        <w:rPr>
          <w:rFonts w:ascii="Arial" w:hAnsi="Arial" w:cs="Arial"/>
          <w:sz w:val="21"/>
          <w:szCs w:val="21"/>
        </w:rPr>
        <w:t>以上；</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lastRenderedPageBreak/>
        <w:t>九、全部社区卫生服务中心、乡镇卫生院与二、三级医院建立稳定的技术帮扶和分工协作关系；</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十、城市高血压、糖尿病患者规范化诊疗和管理率达到</w:t>
      </w:r>
      <w:r>
        <w:rPr>
          <w:rFonts w:ascii="Arial" w:hAnsi="Arial" w:cs="Arial"/>
          <w:sz w:val="21"/>
          <w:szCs w:val="21"/>
        </w:rPr>
        <w:t>40%</w:t>
      </w:r>
      <w:r>
        <w:rPr>
          <w:rFonts w:ascii="Arial" w:hAnsi="Arial" w:cs="Arial"/>
          <w:sz w:val="21"/>
          <w:szCs w:val="21"/>
        </w:rPr>
        <w:t>以上；</w:t>
      </w:r>
      <w:r>
        <w:rPr>
          <w:rFonts w:ascii="Arial" w:hAnsi="Arial" w:cs="Arial"/>
          <w:sz w:val="21"/>
          <w:szCs w:val="21"/>
        </w:rPr>
        <w:t xml:space="preserve"> </w:t>
      </w:r>
    </w:p>
    <w:p w:rsidR="00CA108D" w:rsidRDefault="00CA108D" w:rsidP="00CA108D">
      <w:pPr>
        <w:pStyle w:val="a6"/>
        <w:spacing w:line="330" w:lineRule="atLeast"/>
        <w:rPr>
          <w:rFonts w:ascii="Arial" w:hAnsi="Arial" w:cs="Arial"/>
          <w:sz w:val="21"/>
          <w:szCs w:val="21"/>
        </w:rPr>
      </w:pPr>
      <w:r>
        <w:rPr>
          <w:rFonts w:ascii="Arial" w:hAnsi="Arial" w:cs="Arial"/>
          <w:sz w:val="21"/>
          <w:szCs w:val="21"/>
        </w:rPr>
        <w:t>十一、提供中医药服务的社区卫生服务中心、乡镇卫生院、社区卫生服务站、村卫生室占同类机构之比分别达到</w:t>
      </w:r>
      <w:r>
        <w:rPr>
          <w:rFonts w:ascii="Arial" w:hAnsi="Arial" w:cs="Arial"/>
          <w:sz w:val="21"/>
          <w:szCs w:val="21"/>
        </w:rPr>
        <w:t>100%</w:t>
      </w:r>
      <w:r>
        <w:rPr>
          <w:rFonts w:ascii="Arial" w:hAnsi="Arial" w:cs="Arial"/>
          <w:sz w:val="21"/>
          <w:szCs w:val="21"/>
        </w:rPr>
        <w:t>、</w:t>
      </w:r>
      <w:r>
        <w:rPr>
          <w:rFonts w:ascii="Arial" w:hAnsi="Arial" w:cs="Arial"/>
          <w:sz w:val="21"/>
          <w:szCs w:val="21"/>
        </w:rPr>
        <w:t>100%</w:t>
      </w:r>
      <w:r>
        <w:rPr>
          <w:rFonts w:ascii="Arial" w:hAnsi="Arial" w:cs="Arial"/>
          <w:sz w:val="21"/>
          <w:szCs w:val="21"/>
        </w:rPr>
        <w:t>、</w:t>
      </w:r>
      <w:r>
        <w:rPr>
          <w:rFonts w:ascii="Arial" w:hAnsi="Arial" w:cs="Arial"/>
          <w:sz w:val="21"/>
          <w:szCs w:val="21"/>
        </w:rPr>
        <w:t>85%</w:t>
      </w:r>
      <w:r>
        <w:rPr>
          <w:rFonts w:ascii="Arial" w:hAnsi="Arial" w:cs="Arial"/>
          <w:sz w:val="21"/>
          <w:szCs w:val="21"/>
        </w:rPr>
        <w:t>、</w:t>
      </w:r>
      <w:r>
        <w:rPr>
          <w:rFonts w:ascii="Arial" w:hAnsi="Arial" w:cs="Arial"/>
          <w:sz w:val="21"/>
          <w:szCs w:val="21"/>
        </w:rPr>
        <w:t>70%</w:t>
      </w:r>
      <w:r>
        <w:rPr>
          <w:rFonts w:ascii="Arial" w:hAnsi="Arial" w:cs="Arial"/>
          <w:sz w:val="21"/>
          <w:szCs w:val="21"/>
        </w:rPr>
        <w:t>，基层医疗卫生机构中医诊疗量占同类机构诊疗总量比例</w:t>
      </w:r>
      <w:r>
        <w:rPr>
          <w:rFonts w:ascii="Arial" w:hAnsi="Arial" w:cs="Arial"/>
          <w:sz w:val="21"/>
          <w:szCs w:val="21"/>
        </w:rPr>
        <w:t>≥30%.</w:t>
      </w:r>
    </w:p>
    <w:p w:rsidR="009F1AC9" w:rsidRPr="00CA108D" w:rsidRDefault="009F1AC9" w:rsidP="00CA108D">
      <w:pPr>
        <w:rPr>
          <w:szCs w:val="21"/>
        </w:rPr>
      </w:pPr>
    </w:p>
    <w:sectPr w:rsidR="009F1AC9" w:rsidRPr="00CA108D"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AE" w:rsidRDefault="00451DAE" w:rsidP="00635247">
      <w:r>
        <w:separator/>
      </w:r>
    </w:p>
  </w:endnote>
  <w:endnote w:type="continuationSeparator" w:id="0">
    <w:p w:rsidR="00451DAE" w:rsidRDefault="00451DAE" w:rsidP="00635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AE" w:rsidRDefault="00451DAE" w:rsidP="00635247">
      <w:r>
        <w:separator/>
      </w:r>
    </w:p>
  </w:footnote>
  <w:footnote w:type="continuationSeparator" w:id="0">
    <w:p w:rsidR="00451DAE" w:rsidRDefault="00451DAE" w:rsidP="00635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5D5"/>
    <w:multiLevelType w:val="multilevel"/>
    <w:tmpl w:val="853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130F3"/>
    <w:multiLevelType w:val="hybridMultilevel"/>
    <w:tmpl w:val="2AC8C8EC"/>
    <w:lvl w:ilvl="0" w:tplc="92E858FC">
      <w:start w:val="10"/>
      <w:numFmt w:val="japaneseCounting"/>
      <w:lvlText w:val="%1、"/>
      <w:lvlJc w:val="left"/>
      <w:pPr>
        <w:ind w:left="855" w:hanging="435"/>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103EA9"/>
    <w:rsid w:val="0016742E"/>
    <w:rsid w:val="00167A0F"/>
    <w:rsid w:val="0023044D"/>
    <w:rsid w:val="0038184E"/>
    <w:rsid w:val="003C1D06"/>
    <w:rsid w:val="00451DAE"/>
    <w:rsid w:val="00462BEC"/>
    <w:rsid w:val="00466A70"/>
    <w:rsid w:val="0060237C"/>
    <w:rsid w:val="00605679"/>
    <w:rsid w:val="00605C09"/>
    <w:rsid w:val="00631058"/>
    <w:rsid w:val="00635247"/>
    <w:rsid w:val="00650EDB"/>
    <w:rsid w:val="00676ABF"/>
    <w:rsid w:val="007156E3"/>
    <w:rsid w:val="007269AF"/>
    <w:rsid w:val="00736613"/>
    <w:rsid w:val="007815FD"/>
    <w:rsid w:val="007B370C"/>
    <w:rsid w:val="0080651C"/>
    <w:rsid w:val="008353FD"/>
    <w:rsid w:val="008519A2"/>
    <w:rsid w:val="00862FF5"/>
    <w:rsid w:val="008F0255"/>
    <w:rsid w:val="00915196"/>
    <w:rsid w:val="00932222"/>
    <w:rsid w:val="00947F67"/>
    <w:rsid w:val="00974896"/>
    <w:rsid w:val="009C4866"/>
    <w:rsid w:val="009C6D07"/>
    <w:rsid w:val="009F1AC9"/>
    <w:rsid w:val="009F6137"/>
    <w:rsid w:val="00A0276A"/>
    <w:rsid w:val="00A07393"/>
    <w:rsid w:val="00AF5E88"/>
    <w:rsid w:val="00B33CC9"/>
    <w:rsid w:val="00BC6F31"/>
    <w:rsid w:val="00BE2216"/>
    <w:rsid w:val="00C37301"/>
    <w:rsid w:val="00CA108D"/>
    <w:rsid w:val="00CC0738"/>
    <w:rsid w:val="00D84358"/>
    <w:rsid w:val="00DE2DF9"/>
    <w:rsid w:val="00E10F65"/>
    <w:rsid w:val="00E62841"/>
    <w:rsid w:val="00E70341"/>
    <w:rsid w:val="00F070F3"/>
    <w:rsid w:val="00F6677A"/>
    <w:rsid w:val="00FB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0C"/>
    <w:pPr>
      <w:widowControl w:val="0"/>
      <w:jc w:val="both"/>
    </w:pPr>
  </w:style>
  <w:style w:type="paragraph" w:styleId="1">
    <w:name w:val="heading 1"/>
    <w:basedOn w:val="a"/>
    <w:link w:val="1Char"/>
    <w:uiPriority w:val="9"/>
    <w:qFormat/>
    <w:rsid w:val="00BE22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 w:type="character" w:customStyle="1" w:styleId="1Char">
    <w:name w:val="标题 1 Char"/>
    <w:basedOn w:val="a0"/>
    <w:link w:val="1"/>
    <w:uiPriority w:val="9"/>
    <w:rsid w:val="00BE2216"/>
    <w:rPr>
      <w:rFonts w:ascii="宋体" w:eastAsia="宋体" w:hAnsi="宋体" w:cs="宋体"/>
      <w:b/>
      <w:bCs/>
      <w:kern w:val="36"/>
      <w:sz w:val="48"/>
      <w:szCs w:val="48"/>
    </w:rPr>
  </w:style>
  <w:style w:type="paragraph" w:styleId="a6">
    <w:name w:val="Normal (Web)"/>
    <w:basedOn w:val="a"/>
    <w:uiPriority w:val="99"/>
    <w:unhideWhenUsed/>
    <w:rsid w:val="009C48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C4866"/>
    <w:rPr>
      <w:b/>
      <w:bCs/>
    </w:rPr>
  </w:style>
  <w:style w:type="character" w:customStyle="1" w:styleId="apple-converted-space">
    <w:name w:val="apple-converted-space"/>
    <w:basedOn w:val="a0"/>
    <w:rsid w:val="00E10F65"/>
  </w:style>
</w:styles>
</file>

<file path=word/webSettings.xml><?xml version="1.0" encoding="utf-8"?>
<w:webSettings xmlns:r="http://schemas.openxmlformats.org/officeDocument/2006/relationships" xmlns:w="http://schemas.openxmlformats.org/wordprocessingml/2006/main">
  <w:divs>
    <w:div w:id="214391063">
      <w:bodyDiv w:val="1"/>
      <w:marLeft w:val="0"/>
      <w:marRight w:val="0"/>
      <w:marTop w:val="0"/>
      <w:marBottom w:val="0"/>
      <w:divBdr>
        <w:top w:val="none" w:sz="0" w:space="0" w:color="auto"/>
        <w:left w:val="none" w:sz="0" w:space="0" w:color="auto"/>
        <w:bottom w:val="none" w:sz="0" w:space="0" w:color="auto"/>
        <w:right w:val="none" w:sz="0" w:space="0" w:color="auto"/>
      </w:divBdr>
    </w:div>
    <w:div w:id="310863619">
      <w:bodyDiv w:val="1"/>
      <w:marLeft w:val="0"/>
      <w:marRight w:val="0"/>
      <w:marTop w:val="0"/>
      <w:marBottom w:val="0"/>
      <w:divBdr>
        <w:top w:val="none" w:sz="0" w:space="0" w:color="auto"/>
        <w:left w:val="none" w:sz="0" w:space="0" w:color="auto"/>
        <w:bottom w:val="none" w:sz="0" w:space="0" w:color="auto"/>
        <w:right w:val="none" w:sz="0" w:space="0" w:color="auto"/>
      </w:divBdr>
    </w:div>
    <w:div w:id="394939174">
      <w:bodyDiv w:val="1"/>
      <w:marLeft w:val="0"/>
      <w:marRight w:val="0"/>
      <w:marTop w:val="0"/>
      <w:marBottom w:val="0"/>
      <w:divBdr>
        <w:top w:val="none" w:sz="0" w:space="0" w:color="auto"/>
        <w:left w:val="none" w:sz="0" w:space="0" w:color="auto"/>
        <w:bottom w:val="none" w:sz="0" w:space="0" w:color="auto"/>
        <w:right w:val="none" w:sz="0" w:space="0" w:color="auto"/>
      </w:divBdr>
    </w:div>
    <w:div w:id="776368045">
      <w:bodyDiv w:val="1"/>
      <w:marLeft w:val="0"/>
      <w:marRight w:val="0"/>
      <w:marTop w:val="0"/>
      <w:marBottom w:val="0"/>
      <w:divBdr>
        <w:top w:val="none" w:sz="0" w:space="0" w:color="auto"/>
        <w:left w:val="none" w:sz="0" w:space="0" w:color="auto"/>
        <w:bottom w:val="none" w:sz="0" w:space="0" w:color="auto"/>
        <w:right w:val="none" w:sz="0" w:space="0" w:color="auto"/>
      </w:divBdr>
    </w:div>
    <w:div w:id="1515220444">
      <w:bodyDiv w:val="1"/>
      <w:marLeft w:val="0"/>
      <w:marRight w:val="0"/>
      <w:marTop w:val="0"/>
      <w:marBottom w:val="0"/>
      <w:divBdr>
        <w:top w:val="none" w:sz="0" w:space="0" w:color="auto"/>
        <w:left w:val="none" w:sz="0" w:space="0" w:color="auto"/>
        <w:bottom w:val="none" w:sz="0" w:space="0" w:color="auto"/>
        <w:right w:val="none" w:sz="0" w:space="0" w:color="auto"/>
      </w:divBdr>
    </w:div>
    <w:div w:id="1525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24</cp:revision>
  <dcterms:created xsi:type="dcterms:W3CDTF">2017-01-11T05:46:00Z</dcterms:created>
  <dcterms:modified xsi:type="dcterms:W3CDTF">2017-02-06T07:35:00Z</dcterms:modified>
</cp:coreProperties>
</file>