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75" w:rsidRPr="00795A75" w:rsidRDefault="00795A75" w:rsidP="00795A75">
      <w:pPr>
        <w:widowControl/>
        <w:shd w:val="clear" w:color="auto" w:fill="FFFFFF"/>
        <w:spacing w:line="462" w:lineRule="atLeast"/>
        <w:jc w:val="center"/>
        <w:textAlignment w:val="baseline"/>
        <w:rPr>
          <w:rFonts w:ascii="宋体" w:eastAsia="宋体" w:hAnsi="宋体" w:cs="宋体"/>
          <w:color w:val="666666"/>
          <w:kern w:val="0"/>
          <w:sz w:val="28"/>
          <w:szCs w:val="28"/>
        </w:rPr>
      </w:pPr>
      <w:r w:rsidRPr="00795A75">
        <w:rPr>
          <w:rFonts w:ascii="黑体" w:eastAsia="黑体" w:hAnsi="宋体" w:cs="宋体" w:hint="eastAsia"/>
          <w:color w:val="666666"/>
          <w:kern w:val="0"/>
          <w:sz w:val="44"/>
          <w:szCs w:val="44"/>
          <w:bdr w:val="none" w:sz="0" w:space="0" w:color="auto" w:frame="1"/>
        </w:rPr>
        <w:t> </w:t>
      </w:r>
      <w:r w:rsidRPr="00795A75">
        <w:rPr>
          <w:rFonts w:ascii="inherit" w:eastAsia="黑体" w:hAnsi="inherit" w:cs="宋体"/>
          <w:color w:val="666666"/>
          <w:kern w:val="0"/>
          <w:sz w:val="28"/>
          <w:szCs w:val="28"/>
          <w:bdr w:val="none" w:sz="0" w:space="0" w:color="auto" w:frame="1"/>
        </w:rPr>
        <w:t>黄石卫生技术副</w:t>
      </w:r>
      <w:proofErr w:type="gramStart"/>
      <w:r w:rsidRPr="00795A75">
        <w:rPr>
          <w:rFonts w:ascii="inherit" w:eastAsia="黑体" w:hAnsi="inherit" w:cs="宋体"/>
          <w:color w:val="666666"/>
          <w:kern w:val="0"/>
          <w:sz w:val="28"/>
          <w:szCs w:val="28"/>
          <w:bdr w:val="none" w:sz="0" w:space="0" w:color="auto" w:frame="1"/>
        </w:rPr>
        <w:t>高职务</w:t>
      </w:r>
      <w:proofErr w:type="gramEnd"/>
      <w:r w:rsidRPr="00795A75">
        <w:rPr>
          <w:rFonts w:ascii="inherit" w:eastAsia="黑体" w:hAnsi="inherit" w:cs="宋体"/>
          <w:color w:val="666666"/>
          <w:kern w:val="0"/>
          <w:sz w:val="28"/>
          <w:szCs w:val="28"/>
          <w:bdr w:val="none" w:sz="0" w:space="0" w:color="auto" w:frame="1"/>
        </w:rPr>
        <w:t>评审量化评分标准申报人员单位负责考核指标</w:t>
      </w:r>
    </w:p>
    <w:tbl>
      <w:tblPr>
        <w:tblW w:w="146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1"/>
        <w:gridCol w:w="945"/>
        <w:gridCol w:w="855"/>
        <w:gridCol w:w="5568"/>
        <w:gridCol w:w="6228"/>
      </w:tblGrid>
      <w:tr w:rsidR="00795A75" w:rsidRPr="00795A75" w:rsidTr="00795A7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评分  内容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评分 项目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分值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ind w:firstLine="2400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评分标准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评分办法</w:t>
            </w:r>
          </w:p>
        </w:tc>
      </w:tr>
      <w:tr w:rsidR="00795A75" w:rsidRPr="00795A75" w:rsidTr="00795A75"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职业道德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医德</w:t>
            </w:r>
          </w:p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考核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6分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proofErr w:type="gramStart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医</w:t>
            </w:r>
            <w:proofErr w:type="gramEnd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卫单位根据申评人员的医德评议情况综合进行考核评分，分为：优秀5-6分，良好4-5分两个等次。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666666"/>
                <w:kern w:val="0"/>
                <w:szCs w:val="21"/>
              </w:rPr>
            </w:pPr>
            <w:proofErr w:type="gramStart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医</w:t>
            </w:r>
            <w:proofErr w:type="gramEnd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卫单位根据申评人员的医德综合评议情况确定等次，</w:t>
            </w:r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其中：优秀等次人员占所在</w:t>
            </w:r>
            <w:proofErr w:type="gramStart"/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医</w:t>
            </w:r>
            <w:proofErr w:type="gramEnd"/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卫单位当年申报职称人数的60</w:t>
            </w:r>
            <w:r w:rsidRPr="00795A75">
              <w:rPr>
                <w:rFonts w:ascii="inherit" w:eastAsia="宋体" w:hAnsi="inherit" w:cs="宋体"/>
                <w:color w:val="666666"/>
                <w:kern w:val="0"/>
                <w:szCs w:val="21"/>
                <w:bdr w:val="none" w:sz="0" w:space="0" w:color="auto" w:frame="1"/>
              </w:rPr>
              <w:t>％、良好等次的占</w:t>
            </w:r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40</w:t>
            </w:r>
            <w:r w:rsidRPr="00795A75">
              <w:rPr>
                <w:rFonts w:ascii="inherit" w:eastAsia="宋体" w:hAnsi="inherit" w:cs="宋体"/>
                <w:color w:val="666666"/>
                <w:kern w:val="0"/>
                <w:szCs w:val="21"/>
                <w:bdr w:val="none" w:sz="0" w:space="0" w:color="auto" w:frame="1"/>
              </w:rPr>
              <w:t>％。申报职称时，评分结果须经</w:t>
            </w:r>
            <w:proofErr w:type="gramStart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医</w:t>
            </w:r>
            <w:proofErr w:type="gramEnd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卫单位法人签字和单位盖章。(对因曾经受过党纪、政纪处分的，有医疗事故责任的，往年申报</w:t>
            </w:r>
          </w:p>
          <w:p w:rsidR="00795A75" w:rsidRPr="00795A75" w:rsidRDefault="00795A75" w:rsidP="00795A75">
            <w:pPr>
              <w:widowControl/>
              <w:spacing w:line="462" w:lineRule="atLeast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中有弄虚作假行为的最高按2分计分)</w:t>
            </w:r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  </w:t>
            </w:r>
          </w:p>
        </w:tc>
      </w:tr>
      <w:tr w:rsidR="00795A75" w:rsidRPr="00795A75" w:rsidTr="00795A7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5A75" w:rsidRPr="00795A75" w:rsidRDefault="00795A75" w:rsidP="00795A75">
            <w:pPr>
              <w:widowControl/>
              <w:jc w:val="left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日常工作综合评价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8</w:t>
            </w:r>
            <w:r w:rsidRPr="00795A75">
              <w:rPr>
                <w:rFonts w:ascii="inherit" w:eastAsia="宋体" w:hAnsi="inherit" w:cs="宋体"/>
                <w:color w:val="666666"/>
                <w:kern w:val="0"/>
                <w:szCs w:val="21"/>
                <w:bdr w:val="none" w:sz="0" w:space="0" w:color="auto" w:frame="1"/>
              </w:rPr>
              <w:t>分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proofErr w:type="gramStart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医</w:t>
            </w:r>
            <w:proofErr w:type="gramEnd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卫单位对申评人员从履行单位规章制度情况、思想政治素质、工作态度、日常工作效率、</w:t>
            </w:r>
            <w:proofErr w:type="gramStart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医</w:t>
            </w:r>
            <w:proofErr w:type="gramEnd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患沟通、医疗安全、</w:t>
            </w:r>
            <w:proofErr w:type="gramStart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医</w:t>
            </w:r>
            <w:proofErr w:type="gramEnd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保服务行为等方面进行综合考核评分，分为优秀7-8分，良好6-7分，一般4-6分三个等次。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666666"/>
                <w:kern w:val="0"/>
                <w:szCs w:val="21"/>
              </w:rPr>
            </w:pPr>
            <w:proofErr w:type="gramStart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医</w:t>
            </w:r>
            <w:proofErr w:type="gramEnd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卫单位根据申评人员的日常工作综合评价情况确定等次，</w:t>
            </w:r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其中：优秀等次人员占所在</w:t>
            </w:r>
            <w:proofErr w:type="gramStart"/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医</w:t>
            </w:r>
            <w:proofErr w:type="gramEnd"/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卫单位当年申报职称人数的</w:t>
            </w:r>
            <w:r w:rsidRPr="00795A75">
              <w:rPr>
                <w:rFonts w:ascii="inherit" w:eastAsia="宋体" w:hAnsi="inherit" w:cs="宋体"/>
                <w:color w:val="666666"/>
                <w:kern w:val="0"/>
                <w:szCs w:val="21"/>
                <w:bdr w:val="none" w:sz="0" w:space="0" w:color="auto" w:frame="1"/>
              </w:rPr>
              <w:t>30</w:t>
            </w:r>
            <w:r w:rsidRPr="00795A75">
              <w:rPr>
                <w:rFonts w:ascii="inherit" w:eastAsia="宋体" w:hAnsi="inherit" w:cs="宋体"/>
                <w:color w:val="666666"/>
                <w:kern w:val="0"/>
                <w:szCs w:val="21"/>
                <w:bdr w:val="none" w:sz="0" w:space="0" w:color="auto" w:frame="1"/>
              </w:rPr>
              <w:t>％、良好等次的占</w:t>
            </w:r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50</w:t>
            </w:r>
            <w:r w:rsidRPr="00795A75">
              <w:rPr>
                <w:rFonts w:ascii="inherit" w:eastAsia="宋体" w:hAnsi="inherit" w:cs="宋体"/>
                <w:color w:val="666666"/>
                <w:kern w:val="0"/>
                <w:szCs w:val="21"/>
                <w:bdr w:val="none" w:sz="0" w:space="0" w:color="auto" w:frame="1"/>
              </w:rPr>
              <w:t>％、一般等次的占</w:t>
            </w:r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20</w:t>
            </w:r>
            <w:r w:rsidRPr="00795A75">
              <w:rPr>
                <w:rFonts w:ascii="inherit" w:eastAsia="宋体" w:hAnsi="inherit" w:cs="宋体"/>
                <w:color w:val="666666"/>
                <w:kern w:val="0"/>
                <w:szCs w:val="21"/>
                <w:bdr w:val="none" w:sz="0" w:space="0" w:color="auto" w:frame="1"/>
              </w:rPr>
              <w:t>％。申报职称时，评分结果须经</w:t>
            </w:r>
            <w:proofErr w:type="gramStart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医</w:t>
            </w:r>
            <w:proofErr w:type="gramEnd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卫单</w:t>
            </w:r>
          </w:p>
          <w:p w:rsidR="00795A75" w:rsidRPr="00795A75" w:rsidRDefault="00795A75" w:rsidP="00795A75">
            <w:pPr>
              <w:widowControl/>
              <w:spacing w:line="462" w:lineRule="atLeast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位法人签字和单位盖章。</w:t>
            </w:r>
          </w:p>
        </w:tc>
      </w:tr>
      <w:tr w:rsidR="00795A75" w:rsidRPr="00795A75" w:rsidTr="00795A75">
        <w:trPr>
          <w:trHeight w:val="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临床实践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工作量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10分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proofErr w:type="gramStart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医</w:t>
            </w:r>
            <w:proofErr w:type="gramEnd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卫单位根据申评人员任现职以来工作完成情况、工作岗位出勤率等方面进行综合考核评分，分为优秀9—10分、良好7-9分、一般6-7分。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95A75" w:rsidRPr="00795A75" w:rsidRDefault="00795A75" w:rsidP="00795A75">
            <w:pPr>
              <w:widowControl/>
              <w:spacing w:line="462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666666"/>
                <w:kern w:val="0"/>
                <w:szCs w:val="21"/>
              </w:rPr>
            </w:pPr>
            <w:proofErr w:type="gramStart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医</w:t>
            </w:r>
            <w:proofErr w:type="gramEnd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卫单位根据申评人员的工作量确定等次，</w:t>
            </w:r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其中：优秀等次人员占所在</w:t>
            </w:r>
            <w:proofErr w:type="gramStart"/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医</w:t>
            </w:r>
            <w:proofErr w:type="gramEnd"/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卫单位当年申报职称人数的</w:t>
            </w:r>
            <w:r w:rsidRPr="00795A75">
              <w:rPr>
                <w:rFonts w:ascii="inherit" w:eastAsia="宋体" w:hAnsi="inherit" w:cs="宋体"/>
                <w:color w:val="666666"/>
                <w:kern w:val="0"/>
                <w:szCs w:val="21"/>
                <w:bdr w:val="none" w:sz="0" w:space="0" w:color="auto" w:frame="1"/>
              </w:rPr>
              <w:t>30</w:t>
            </w:r>
            <w:r w:rsidRPr="00795A75">
              <w:rPr>
                <w:rFonts w:ascii="inherit" w:eastAsia="宋体" w:hAnsi="inherit" w:cs="宋体"/>
                <w:color w:val="666666"/>
                <w:kern w:val="0"/>
                <w:szCs w:val="21"/>
                <w:bdr w:val="none" w:sz="0" w:space="0" w:color="auto" w:frame="1"/>
              </w:rPr>
              <w:t>％、良好等次的占</w:t>
            </w:r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50</w:t>
            </w:r>
            <w:r w:rsidRPr="00795A75">
              <w:rPr>
                <w:rFonts w:ascii="inherit" w:eastAsia="宋体" w:hAnsi="inherit" w:cs="宋体"/>
                <w:color w:val="666666"/>
                <w:kern w:val="0"/>
                <w:szCs w:val="21"/>
                <w:bdr w:val="none" w:sz="0" w:space="0" w:color="auto" w:frame="1"/>
              </w:rPr>
              <w:t>％、一般等次的占</w:t>
            </w:r>
            <w:r w:rsidRPr="00795A75">
              <w:rPr>
                <w:rFonts w:ascii="宋体" w:eastAsia="宋体" w:hAnsi="宋体" w:cs="宋体" w:hint="eastAsia"/>
                <w:color w:val="666666"/>
                <w:kern w:val="0"/>
                <w:szCs w:val="21"/>
                <w:bdr w:val="none" w:sz="0" w:space="0" w:color="auto" w:frame="1"/>
              </w:rPr>
              <w:t>20</w:t>
            </w:r>
            <w:r w:rsidRPr="00795A75">
              <w:rPr>
                <w:rFonts w:ascii="inherit" w:eastAsia="宋体" w:hAnsi="inherit" w:cs="宋体"/>
                <w:color w:val="666666"/>
                <w:kern w:val="0"/>
                <w:szCs w:val="21"/>
                <w:bdr w:val="none" w:sz="0" w:space="0" w:color="auto" w:frame="1"/>
              </w:rPr>
              <w:t>％。申报职称时，评分结果须经</w:t>
            </w:r>
            <w:proofErr w:type="gramStart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医</w:t>
            </w:r>
            <w:proofErr w:type="gramEnd"/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卫单位法人签字和单</w:t>
            </w:r>
          </w:p>
          <w:p w:rsidR="00795A75" w:rsidRPr="00795A75" w:rsidRDefault="00795A75" w:rsidP="00795A75">
            <w:pPr>
              <w:widowControl/>
              <w:spacing w:line="462" w:lineRule="atLeast"/>
              <w:textAlignment w:val="baseline"/>
              <w:rPr>
                <w:rFonts w:ascii="inherit" w:eastAsia="宋体" w:hAnsi="inherit" w:cs="宋体"/>
                <w:color w:val="666666"/>
                <w:kern w:val="0"/>
                <w:szCs w:val="21"/>
              </w:rPr>
            </w:pPr>
            <w:r w:rsidRPr="00795A7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位盖章。</w:t>
            </w:r>
          </w:p>
        </w:tc>
      </w:tr>
    </w:tbl>
    <w:p w:rsidR="00795A75" w:rsidRPr="00795A75" w:rsidRDefault="00795A75" w:rsidP="00795A75">
      <w:pPr>
        <w:widowControl/>
        <w:shd w:val="clear" w:color="auto" w:fill="FFFFFF"/>
        <w:spacing w:line="462" w:lineRule="atLeast"/>
        <w:jc w:val="center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795A75">
        <w:rPr>
          <w:rFonts w:ascii="inherit" w:eastAsia="宋体" w:hAnsi="inherit" w:cs="宋体"/>
          <w:color w:val="666666"/>
          <w:kern w:val="0"/>
          <w:sz w:val="32"/>
          <w:szCs w:val="32"/>
          <w:bdr w:val="none" w:sz="0" w:space="0" w:color="auto" w:frame="1"/>
        </w:rPr>
        <w:lastRenderedPageBreak/>
        <w:t>（本指标仅供申报人员单位评分时参考，申报人员材料中无须提供）</w:t>
      </w:r>
    </w:p>
    <w:p w:rsidR="00A42421" w:rsidRPr="00795A75" w:rsidRDefault="00A42421" w:rsidP="00795A75"/>
    <w:sectPr w:rsidR="00A42421" w:rsidRPr="00795A75" w:rsidSect="00795A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3E" w:rsidRDefault="00203D3E" w:rsidP="00795A75">
      <w:r>
        <w:separator/>
      </w:r>
    </w:p>
  </w:endnote>
  <w:endnote w:type="continuationSeparator" w:id="0">
    <w:p w:rsidR="00203D3E" w:rsidRDefault="00203D3E" w:rsidP="0079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3E" w:rsidRDefault="00203D3E" w:rsidP="00795A75">
      <w:r>
        <w:separator/>
      </w:r>
    </w:p>
  </w:footnote>
  <w:footnote w:type="continuationSeparator" w:id="0">
    <w:p w:rsidR="00203D3E" w:rsidRDefault="00203D3E" w:rsidP="00795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A75"/>
    <w:rsid w:val="00203D3E"/>
    <w:rsid w:val="00795A75"/>
    <w:rsid w:val="00A42421"/>
    <w:rsid w:val="00AD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A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A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2017-08-28T01:47:00Z</dcterms:created>
  <dcterms:modified xsi:type="dcterms:W3CDTF">2017-08-28T01:48:00Z</dcterms:modified>
</cp:coreProperties>
</file>