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201</w:t>
      </w: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/>
          <w:b/>
          <w:sz w:val="21"/>
          <w:szCs w:val="21"/>
          <w:lang w:eastAsia="zh-CN"/>
        </w:rPr>
        <w:t>药学初级（师）考试大纲-专业实践能力</w:t>
      </w:r>
    </w:p>
    <w:p>
      <w:pPr>
        <w:jc w:val="center"/>
        <w:rPr>
          <w:rFonts w:asciiTheme="minorEastAsia" w:hAnsiTheme="minorEastAsia"/>
          <w:b/>
          <w:sz w:val="21"/>
          <w:szCs w:val="21"/>
        </w:rPr>
      </w:pPr>
      <w:bookmarkStart w:id="0" w:name="_GoBack"/>
      <w:bookmarkEnd w:id="0"/>
      <w:r>
        <w:rPr>
          <w:rFonts w:asciiTheme="minorEastAsia" w:hAnsiTheme="minorEastAsia"/>
          <w:b/>
          <w:sz w:val="21"/>
          <w:szCs w:val="21"/>
        </w:rPr>
        <w:t>岗位技能</w:t>
      </w:r>
    </w:p>
    <w:tbl>
      <w:tblPr>
        <w:tblStyle w:val="10"/>
        <w:tblW w:w="80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860"/>
        <w:gridCol w:w="3795"/>
        <w:gridCol w:w="1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一、药品调剂</w:t>
            </w: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1.处方的意义和结构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（1）处方的概念和意义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（2）处方的结构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（3）处方的种类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2.处方规则和处方缩写词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（1）处方规则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（2）药物通用名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（3）药物分类及通用的药名词干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（4）处方缩写词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3.处方调配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（1）处方调配的一般程序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（2）药物的摆放及注意事项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4.处方差错的防范与处理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（1）处方差错的性质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（2）外方差错的原因及类别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（3）防范措施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（4）对差错的应对措施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（5）处理原则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5.调剂室工作制度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（1）岗位责任制度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（2）查对制度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（3）错误处方的登记、纠正及缺药的处理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（4）领发药制度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（5）药品管理制度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（6）特殊药品管理制度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（7）有效期药品管理制度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6.调剂室的位置、设施与设备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（1）调剂室的设置和环境要求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（2）调剂室的设备和条件要求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（3）调剂室的药品摆放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（4）门诊、急诊、病房调剂的特性与差异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二、临床用药的配制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1.细胞毒药物的配制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配制和使用过程中应注意的问题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2.肠外营养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临床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营养支持的意义、重要性和进展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（2）配制和使用过程中应注意的问题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.药物配伍变化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（1）溶剂性质改变引起配伍禁忌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（2）pH变化引起药物沉淀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（3）配伍引起氧化还原反应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（4）混合顺序引起变化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（5）其它配伍变化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三、药品的仓储与保管</w:t>
            </w: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1.药品的采购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（1）药品采购计划编制、采购流程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（2）供应商资质审核、采购合同签订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（3）购进记录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2.药品的入库验收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（1）药品的验收内容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（2）药品的外观检查内容、方法、判断依据与处理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（3）药品验收记录：填写要求与注意事项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（4）药品入库手续与程序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/>
                <w:sz w:val="21"/>
                <w:szCs w:val="21"/>
              </w:rPr>
              <w:t>药品的效期管理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（1）有效期的概念、标示方法、识别方法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（2）效期药品的管理、存放、色标管理、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账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卡登记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（3）过期药品的处理办法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4.药品的储存与养护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（1）影响药品储存质量的因素(环境、人为及药物本身因素)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（2）药品的储存：分区分类、规划货位、 货位编号、堆垛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（3）药品的保管与养护：在库检查、药品的分类保管与养护措施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特殊管理药品的 保管方法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（1）麻醉药品的保管方法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（2）精神药品的保管方法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（3）医疗用毒性药品的保管方法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6.药品的出库发放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（1）药品出库发放的要求与原则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（2）药品出库工作程序、复核、记录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7.药品盘点与结算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（1）药品盘点操作流程、对账与结账操作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（2）药品报损与退换货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1.称量操作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（1）常用天平及量器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（2）称重方法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（3）称量操作注意事项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2.粉碎、过筛、混合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（1）常用粉碎与过筛设备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（2）混合方法及混合原则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3.灭菌与无菌操作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（1）洁净室操作技术（洁净室设计要求及清洁消毒、人员及物料管理）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（2）物理灭菌技术（热压灭菌、干热灭菌、紫外线灭菌）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（3）化学灭菌技术（气体灭菌、药液灭菌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（4）无菌操作技术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4.制药用水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（1）选用原则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（2）生产及质量控制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5.外用制剂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（1）洗剂的制备及举例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（2）滴鼻剂、滴耳剂的制备及举例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（3）软膏剂的制备及举例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（4）外用散剂的制备及举例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6.内服制剂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（1）合剂制备及举例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（2）糖浆剂制备及举例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7.无菌制剂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滴眼剂制备及举例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五、医院药 品的检验</w:t>
            </w: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1.玻璃仪器的洗涤、干燥与保管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（1）洗液的配制及使用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（2）玻璃仪器的洗涤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（3）玻璃仪器的干燥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（4）玻璃仪器的保管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2.玻璃仪器的使用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（1）滴定管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（2）容量瓶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（3）移液管和吸量管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3.化学试剂的规格和常用溶液的配制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（1）化学试剂的分类和规格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（2）化学试剂的规格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（3）化学试剂的保管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（4）溶液配制一般步骤（含天平的使用）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（5）常用溶液的配制与标定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4.药品的鉴别法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（1）试管反应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滤纸片</w:t>
            </w:r>
            <w:r>
              <w:rPr>
                <w:rFonts w:asciiTheme="minorEastAsia" w:hAnsiTheme="minorEastAsia"/>
                <w:sz w:val="21"/>
                <w:szCs w:val="21"/>
              </w:rPr>
              <w:t>反应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（3）薄层色谱的一般操作步骤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（4）对照品鉴别法举例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5.一般杂质检查和制剂通则检查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（1）干燥失重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H值测定（含酸度计的使用）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（3）重量差异检查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（4）无菌检查法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6.药品的含量测定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（1）常用的滴定分析方法与举例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（2）紫外分光光度计的构造和操作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（3）高效液相色谱法仪的结构和操作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7.药品检验的一般流程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取样、分析检验、报告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六、药物信 息咨询服务</w:t>
            </w: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1.药物信息与药学实践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（1）临床服务、教学、科研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（2）如何判断文献的真实可靠性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2.信息资料分类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（1）1级文献定义、应用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（2）2级文献定义、应用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（3）3级文献定义、应用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（4）文本，计算机化资料，网上资料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临床常用</w:t>
            </w:r>
            <w:r>
              <w:rPr>
                <w:rFonts w:asciiTheme="minorEastAsia" w:hAnsiTheme="minorEastAsia"/>
                <w:sz w:val="21"/>
                <w:szCs w:val="21"/>
              </w:rPr>
              <w:t>资料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中文、外文资料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4.咨询服务方法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明确问题，问题归类，查阅资料，附加信息，回答问题，随访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5.用药咨询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（3）提供关于药品使用、贮存、运输、携带包装的方便性的信息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6.药物信息中心的管理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分类编目，订购，工作记录，存档，出版发行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七、用药指 导</w:t>
            </w: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1.基本内容和方法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（1）内容：注意事项、禁忌证、服药的适宜时间、适当的疗程、起效时间、过度治疗、潜在的不良反应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2.药品的正确使用 方法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（1）口服药的使用方法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（2）外用药的使用方法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（3）特殊剂型的使用方法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八、治疗药 物监测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1.概念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2.工作内容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7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3.适用范围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>
      <w:pPr>
        <w:rPr>
          <w:rFonts w:asciiTheme="minorEastAsia" w:hAnsiTheme="minorEastAsia"/>
          <w:sz w:val="21"/>
          <w:szCs w:val="21"/>
        </w:rPr>
      </w:pPr>
    </w:p>
    <w:p>
      <w:pPr>
        <w:rPr>
          <w:rFonts w:asciiTheme="minorEastAsia" w:hAnsiTheme="minorEastAsia"/>
          <w:sz w:val="21"/>
          <w:szCs w:val="21"/>
          <w:lang w:eastAsia="zh-CN"/>
        </w:rPr>
      </w:pPr>
    </w:p>
    <w:p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临床药物治疗学</w:t>
      </w:r>
    </w:p>
    <w:tbl>
      <w:tblPr>
        <w:tblStyle w:val="10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81"/>
        <w:gridCol w:w="3828"/>
        <w:gridCol w:w="11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 元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细 目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</w:t>
            </w:r>
            <w:r>
              <w:rPr>
                <w:rFonts w:asciiTheme="minorEastAsia" w:hAnsi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/>
                <w:sz w:val="21"/>
                <w:szCs w:val="21"/>
              </w:rPr>
              <w:t>点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 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2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药物治疗的一般原则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药物治疗方案制定的一般原则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药物治疗安全性、有效性、经济性与规范性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二、药物治疗的基本过程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药物治疗方案的确定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（1）治疗药物选择的基本原则及方法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（2）给药方案制定和调整的基本原则及方法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三、药物不良反应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/>
                <w:sz w:val="21"/>
                <w:szCs w:val="21"/>
              </w:rPr>
              <w:t>基本知识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（1）不良反应的定义及分型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（2）各种不良反应的发生原因及临床特征。副作用、毒性反应、首剂效应、变态反应、遗传药理学不良反应；继发反应、撤药反应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（3）不良反应的诱发因素，包括药物因素：药物本身的作用、药物不良相互作用、与制剂相关的不良反应；非药物因素：病人的内在因素（年龄、性别、遗传、感应性、疾病）、外在因素（如环境）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（4）预防原则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/>
                <w:sz w:val="21"/>
                <w:szCs w:val="21"/>
              </w:rPr>
              <w:t>监测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（1）监测的目的和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意义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（2）监测的方法如自愿报告系统、医院集中监测系统，对重点药品进行监测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（3）程度分级标准：轻度、中度、重度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（4）因果关系评价原则：肯定、很可能、可能、可疑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（5）报告范围：新药、老药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/>
                <w:sz w:val="21"/>
                <w:szCs w:val="21"/>
              </w:rPr>
              <w:t>信息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（1）来源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（2）种类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/>
                <w:sz w:val="21"/>
                <w:szCs w:val="21"/>
              </w:rPr>
              <w:t>药源性疾病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（1）药源性疾病的概念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（2）常用药品的主要不良反应与常用药物致常见药源性疾病发生原因、临床特点、防治原则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/>
                <w:sz w:val="21"/>
                <w:szCs w:val="21"/>
              </w:rPr>
              <w:t>药物流行病学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基本概念、研究方法、实施应用的价值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四、药物相互作用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1.药动学方面的相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互作用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（1）吸收过程的药物相互作用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（2）分布过程的药物相互作用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（3）代谢过程的药物相互作用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（4）排泄过程的药物相互作用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2.药效学方面的相互作用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（1）作用于同一部位或受体的协同作用和拮抗作用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（2）作用于不同部位的协同作用和拮抗作用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（3）对作用部位的增敏作用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五、特殊人群用药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1.妊娠妇女用药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（1）妊娠期药动学特点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（2）药物通过胎盘的影响因素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（3）药物对妊娠期不同阶段胎儿的影响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（4）药物妊娠毒性分级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（5）妊娠期用药原则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2.哺乳期妇女用药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（1）药物的乳汁分泌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（2）哺乳期合理用药原则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3.新生儿用药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（1）新生儿药动学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（2）药物对新生儿的不良反应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（3）合理用药原则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（4）剂量计算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4.儿童用药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（1）儿童药效学方面的改变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（2）儿童药动学方面的改变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（3）儿童用药的一般原则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（4）剂量计算方法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5.老年人用药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（1）老年人药效学方面的改变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（2）老年人药动学方面的改变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（3）老年人用药的一般原则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六、疾病对药物作用的影响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1.肝脏疾病对药物作用影响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肝病患者的药物应用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2.肾脏疾病对药物作用影响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（1）影响药物肾脏排泄量的因素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（2）肾病时的给药方案调整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七、呼吸系统常见病的药物治疗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1.急性上呼吸道感染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（2）治疗药物选择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肺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炎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（1）肺炎的分类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（2）抗菌药物的合理应用原则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（3）社区获得性肺炎治疗药物的选择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（4）医院获得性肺炎治疗药物的选择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3.支气管哮喘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（1）哮喘的分期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（3）急性发作期用药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（4）慢性持续期治疗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（5）缓解期用药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（6）特殊患者用药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4.慢性阻塞性肺病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治疗药物的选用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5.肺结核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（1）临床表现与分型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（3）药物选择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八、心血管系统常见病的药物治疗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1.原发性高血压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（1）高血压的定义和分类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（2）高血压一般治疗原则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（3）高血压药物治疗原则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（4）常用降压药物的分类及代表药物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（5）降压药物的选择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2.冠状动脉粥样硬化性心脏病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（1）心绞痛的药物治疗原则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（2）心绞痛发作期和缓解期的药物选择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（3）不稳定型心绞痛的药物选择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（4）心肌梗死的治疗原则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（5）急性心肌梗死溶栓治疗的药物选择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3.血脂异常和高脂蛋白血症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（1）高脂蛋白血症的分型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（2）血脂异常治疗药物的选择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4.心力衰竭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药物治疗机制及不同类型心衰的药物选择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5.心律失常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不同类型心律失常治疗药物的选择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九、神经系统常见病的药物治疗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1.缺血性脑血管病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（3）超早期的药物治疗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（4）急性期的药物治疗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（5）恢复期的药物治疗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2.出血性脑血管病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3.癫痫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（1)药物治疗机制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（2)治疗药物的选择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4.帕金森病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（1)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5.老年痴呆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（1)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（2）治疗药物的选择和用药注意事项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十、消化系统常见病的药物治疗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1.消化性溃疡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（1）消化性溃疡药物治疗原则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（2）质子泵抑制剂的治疗机制和代表药物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（3）根除幽门螺杆菌的适应证和常用治疗方案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2.胃食管反流病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（1）胃食管反流病的药物治疗原则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（2）胃食管反流病治疗药物种类和各自特点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（3）控制发作治疗药物选择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十一、内分泌及代谢性疾病的药物治疗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1.甲状腺功能亢进症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（1）药物治疗机制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（2）治疗药物的选用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2.糖尿病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（3）常用降糖药的治疗机制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（4）2型糖尿病的药物治疗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（5）糖尿病合并妊娠的治疗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3.骨质疏松症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（2）不同类型骨质疏松症的药物选择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4.痛风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（2）痛风急性期和发作间期治疗药物的选择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十二、泌尿系统常见疾病的药物治疗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1.急性肾小球肾炎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2.慢性肾小球肾炎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（1）药物治疗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药物治疗机制及治疗药物的选择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3.肾病综合征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（1）药物治疗原则和治疗目标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（2）药物治疗机制及治疗药物的选择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（3）肾病综合征中高脂血症的治疗方案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4.急性肾衰竭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5.慢性肾衰竭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6.肾移植排异反应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药物治疗原则及治疗药物的选择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7.透析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血液净化的方式、对药物作用的影响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十三、血液系统疾病的药物治疗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1.缺铁性贫血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（1）药物治疗原则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（3）治疗药物的相互作用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2.再生障碍性贫血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（2）常用药物作用特点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3.巨幼细胞性贫血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十四、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常见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恶性肿瘤的药物治疗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1.常用抗肿瘤药物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（1）细胞毒类药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（2）改变机体激素平衡而抑制肿瘤的药物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生物反应调节剂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单克隆体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2.抗肿瘤药物的应用原则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常用原则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十五、常见自身免疫性疾病的药物治疗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1.类风湿关节炎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（1）抗类风湿药物的分类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（2）常用NSAIDs类药物的用法及不良反应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（3）常用的药物治疗方案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2.系统性红斑狼疮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药物治疗原则与方法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十六、病毒性疾病的药物治疗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1.病毒性肝炎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（2）慢性肝炎的抗病毒治疗药物选择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2.艾滋病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（2）艾滋病的抗病毒治疗药物选择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3.带状疱疹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（2）带状疱疹神经痛的治疗药物选择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（3）急性带状疱疹治疗药物选择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十七、精神病的药物治疗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1.精神分裂症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药物选择、药物常见副作用及处理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2.焦虑症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（1）药物治疗机制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（2）治疗药物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3.情感性精神障碍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（1）药物治疗机制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（2）治疗药物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十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八</w:t>
            </w:r>
            <w:r>
              <w:rPr>
                <w:rFonts w:asciiTheme="minorEastAsia" w:hAnsiTheme="minorEastAsia"/>
                <w:sz w:val="21"/>
                <w:szCs w:val="21"/>
              </w:rPr>
              <w:t>、中毒解救</w:t>
            </w: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1.催眠药、镇静药、阿片类及其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他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常用药物中毒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（1）中毒药物确认的方法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（2）急性中毒特征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（3）救治措施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（4）常用解毒药和拮抗药的作用原理、选择和临床应用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2.有机磷、香豆素类杀鼠药、氟乙酰胺、氰化物、磷化锌以及各种重金属中毒时的解毒药和拮抗药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中毒表现、治疗原则及治疗药物选择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3.一般救治措施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（1）催吐药、泻药的选择应用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（2）毒物吸附及阻滞吸收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（3）体内药物的加速排除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26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（4）解毒药和拮抗药的选择和应用及作用原理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>
      <w:pPr>
        <w:rPr>
          <w:rFonts w:asciiTheme="minorEastAsia" w:hAnsi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eastAsia="zh-CN"/>
        </w:rPr>
        <w:t xml:space="preserve">       </w:t>
      </w:r>
    </w:p>
    <w:p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专业进展</w:t>
      </w:r>
    </w:p>
    <w:tbl>
      <w:tblPr>
        <w:tblStyle w:val="10"/>
        <w:tblW w:w="81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860"/>
        <w:gridCol w:w="3795"/>
        <w:gridCol w:w="1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6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一、治疗药物评价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1.治疗药物的有效性评价原则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药效学、药动学和临床疗效评价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2.治疗药物的安全性评价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安全性评价的重要性和内容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3.治疗药物的药物经济学评价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（1）药物经济学定义及其在药物评价中的作用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（2）评价方法：最小成本分析、成本效果分析法、成本效用分析、成本效益分析法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（3）研究步骤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4.药物利用研究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（1）基本概念、分类、方法和应用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（2）药物利用的影响因素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5.生命质量评价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生命质量的含义与评价内容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6.治疗药物品种的质量评价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中国药品的质量现状，关注的要点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6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二、时辰药理学及其临床应用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1.时辰药理学概述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定义、研究内容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2.机体节律性的影响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机体节律性对药动学的影响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机体节律性对药效学的影响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16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三、药物基因组学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1.药物基因组学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基本概念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2.基因多态性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药物代谢酶与转运体的基因多态性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3.在个体化给药中的应用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基因剂量效应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1162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四、群体药代动力学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研究内容与意义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1162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五、循证医学与药物治疗</w:t>
            </w: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1.循证医学的基本知识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（1）概念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（2）循证医学研究的基本步骤与方法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（3）循证医学在药物治疗决策中的应用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2.荟萃分析与循证医学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（1）荟萃分析的概念与方法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162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（2）循证医学的局限性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>
      <w:pPr>
        <w:rPr>
          <w:rFonts w:asciiTheme="minorEastAsia" w:hAnsiTheme="minorEastAsia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0320" w:h="14580"/>
      <w:pgMar w:top="780" w:right="1120" w:bottom="340" w:left="1120" w:header="0" w:footer="15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40" w:lineRule="exact"/>
      <w:rPr>
        <w:sz w:val="4"/>
        <w:szCs w:val="4"/>
      </w:rPr>
    </w:pPr>
    <w:r>
      <w:pict>
        <v:shape id="_x0000_s1025" o:spid="_x0000_s1025" o:spt="202" type="#_x0000_t202" style="position:absolute;left:0pt;margin-left:235.6pt;margin-top:699.45pt;height:14pt;width:44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60" w:lineRule="exact"/>
                  <w:ind w:left="20" w:right="-56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ascii="宋体" w:hAnsi="宋体" w:eastAsia="宋体" w:cs="宋体"/>
                    <w:position w:val="-2"/>
                    <w:sz w:val="24"/>
                    <w:szCs w:val="24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宋体" w:hAnsi="宋体" w:eastAsia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 w:eastAsia="宋体" w:cs="宋体"/>
                    <w:position w:val="-2"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CN"/>
      </w:rPr>
      <w:drawing>
        <wp:inline distT="0" distB="0" distL="0" distR="0">
          <wp:extent cx="952500" cy="2857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>　　</w:t>
    </w:r>
    <w:r>
      <w:rPr>
        <w:rFonts w:ascii="宋体" w:hAnsi="宋体"/>
      </w:rPr>
      <w:t xml:space="preserve">       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Fonts w:hint="eastAsia" w:ascii="宋体" w:hAnsi="宋体"/>
      </w:rPr>
      <w:t>正保远程教育</w:t>
    </w:r>
    <w:r>
      <w:rPr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</w:t>
    </w:r>
    <w:r>
      <w:rPr>
        <w:rFonts w:ascii="宋体" w:hAnsi="宋体"/>
      </w:rPr>
      <w:t>DL</w:t>
    </w:r>
    <w:r>
      <w:rPr>
        <w:rFonts w:hint="eastAsia" w:ascii="宋体" w:hAnsi="宋体"/>
      </w:rPr>
      <w:t>）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CB22F1"/>
    <w:rsid w:val="0000210E"/>
    <w:rsid w:val="000165AD"/>
    <w:rsid w:val="000665D9"/>
    <w:rsid w:val="00092AA3"/>
    <w:rsid w:val="000951D1"/>
    <w:rsid w:val="00096AD5"/>
    <w:rsid w:val="000B2997"/>
    <w:rsid w:val="000C3DA0"/>
    <w:rsid w:val="000F10C4"/>
    <w:rsid w:val="000F6BCF"/>
    <w:rsid w:val="00137690"/>
    <w:rsid w:val="00155548"/>
    <w:rsid w:val="001A0EDE"/>
    <w:rsid w:val="001B5CC1"/>
    <w:rsid w:val="001D4FA0"/>
    <w:rsid w:val="001E565E"/>
    <w:rsid w:val="001E6E49"/>
    <w:rsid w:val="00225961"/>
    <w:rsid w:val="00226D54"/>
    <w:rsid w:val="00251FB9"/>
    <w:rsid w:val="002606F3"/>
    <w:rsid w:val="002862D2"/>
    <w:rsid w:val="002A69CB"/>
    <w:rsid w:val="002D1C2E"/>
    <w:rsid w:val="002D3BEF"/>
    <w:rsid w:val="002E7AD2"/>
    <w:rsid w:val="00343FFD"/>
    <w:rsid w:val="00364230"/>
    <w:rsid w:val="00413EF7"/>
    <w:rsid w:val="004358A2"/>
    <w:rsid w:val="00452E45"/>
    <w:rsid w:val="004601F9"/>
    <w:rsid w:val="0049210B"/>
    <w:rsid w:val="004B40A7"/>
    <w:rsid w:val="004F2E41"/>
    <w:rsid w:val="004F5CB7"/>
    <w:rsid w:val="00507987"/>
    <w:rsid w:val="0053718F"/>
    <w:rsid w:val="00546004"/>
    <w:rsid w:val="005509A8"/>
    <w:rsid w:val="005540BD"/>
    <w:rsid w:val="00571757"/>
    <w:rsid w:val="00572477"/>
    <w:rsid w:val="005A7CB3"/>
    <w:rsid w:val="005B6B13"/>
    <w:rsid w:val="006232A2"/>
    <w:rsid w:val="00675501"/>
    <w:rsid w:val="006842DA"/>
    <w:rsid w:val="006844A9"/>
    <w:rsid w:val="006B0F11"/>
    <w:rsid w:val="006E1508"/>
    <w:rsid w:val="006F6BEC"/>
    <w:rsid w:val="007321CB"/>
    <w:rsid w:val="00743ECB"/>
    <w:rsid w:val="0075778B"/>
    <w:rsid w:val="00777F11"/>
    <w:rsid w:val="007B1BED"/>
    <w:rsid w:val="007E4B3D"/>
    <w:rsid w:val="007F6806"/>
    <w:rsid w:val="00803EE6"/>
    <w:rsid w:val="0083651A"/>
    <w:rsid w:val="00841873"/>
    <w:rsid w:val="00847AE6"/>
    <w:rsid w:val="00871272"/>
    <w:rsid w:val="008A5FD0"/>
    <w:rsid w:val="008B0291"/>
    <w:rsid w:val="008E021E"/>
    <w:rsid w:val="008E0A62"/>
    <w:rsid w:val="009B0F99"/>
    <w:rsid w:val="009C1C23"/>
    <w:rsid w:val="009C7B81"/>
    <w:rsid w:val="009F0703"/>
    <w:rsid w:val="00A22A9A"/>
    <w:rsid w:val="00A626FA"/>
    <w:rsid w:val="00A97F4D"/>
    <w:rsid w:val="00AB1AA7"/>
    <w:rsid w:val="00AC73A2"/>
    <w:rsid w:val="00AE5385"/>
    <w:rsid w:val="00AF46B3"/>
    <w:rsid w:val="00AF5987"/>
    <w:rsid w:val="00AF5CFC"/>
    <w:rsid w:val="00B26C1C"/>
    <w:rsid w:val="00B4136A"/>
    <w:rsid w:val="00B44E06"/>
    <w:rsid w:val="00B976F7"/>
    <w:rsid w:val="00BB5DC2"/>
    <w:rsid w:val="00C10D74"/>
    <w:rsid w:val="00C202F2"/>
    <w:rsid w:val="00C35AE2"/>
    <w:rsid w:val="00C709FA"/>
    <w:rsid w:val="00C7546B"/>
    <w:rsid w:val="00CB22F1"/>
    <w:rsid w:val="00CB4493"/>
    <w:rsid w:val="00CD1E85"/>
    <w:rsid w:val="00CD7C21"/>
    <w:rsid w:val="00CF5D75"/>
    <w:rsid w:val="00D01444"/>
    <w:rsid w:val="00D4575F"/>
    <w:rsid w:val="00D662D0"/>
    <w:rsid w:val="00D97267"/>
    <w:rsid w:val="00DD0A97"/>
    <w:rsid w:val="00E02100"/>
    <w:rsid w:val="00E030A7"/>
    <w:rsid w:val="00E373B7"/>
    <w:rsid w:val="00E42AFA"/>
    <w:rsid w:val="00E45F0C"/>
    <w:rsid w:val="00E82DA7"/>
    <w:rsid w:val="00E9008E"/>
    <w:rsid w:val="00EA290E"/>
    <w:rsid w:val="00EC45C8"/>
    <w:rsid w:val="00EC7C8F"/>
    <w:rsid w:val="00EE7DBF"/>
    <w:rsid w:val="00F63E81"/>
    <w:rsid w:val="00F810B6"/>
    <w:rsid w:val="00FE7D91"/>
    <w:rsid w:val="1AE10A48"/>
    <w:rsid w:val="32B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</w:style>
  <w:style w:type="paragraph" w:styleId="4">
    <w:name w:val="Balloon Text"/>
    <w:basedOn w:val="1"/>
    <w:link w:val="13"/>
    <w:unhideWhenUsed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文字 Char"/>
    <w:basedOn w:val="7"/>
    <w:link w:val="3"/>
    <w:semiHidden/>
    <w:qFormat/>
    <w:uiPriority w:val="99"/>
  </w:style>
  <w:style w:type="character" w:customStyle="1" w:styleId="12">
    <w:name w:val="批注主题 Char"/>
    <w:basedOn w:val="11"/>
    <w:link w:val="2"/>
    <w:semiHidden/>
    <w:qFormat/>
    <w:uiPriority w:val="99"/>
    <w:rPr>
      <w:b/>
      <w:bCs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1132</Words>
  <Characters>6453</Characters>
  <Lines>53</Lines>
  <Paragraphs>15</Paragraphs>
  <ScaleCrop>false</ScaleCrop>
  <LinksUpToDate>false</LinksUpToDate>
  <CharactersWithSpaces>7570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2013-01-23T23:45:00Z</dcterms:created>
  <dc:creator>DELL</dc:creator>
  <cp:lastModifiedBy>意随程意</cp:lastModifiedBy>
  <dcterms:modified xsi:type="dcterms:W3CDTF">2017-11-28T05:55:15Z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  <property fmtid="{D5CDD505-2E9C-101B-9397-08002B2CF9AE}" pid="4" name="KSOProductBuildVer">
    <vt:lpwstr>2052-10.1.0.6930</vt:lpwstr>
  </property>
</Properties>
</file>