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autoSpaceDE/>
        <w:autoSpaceDN/>
        <w:bidi w:val="0"/>
        <w:spacing w:beforeLines="0" w:afterLines="0" w:line="574" w:lineRule="exact"/>
        <w:ind w:left="0" w:leftChars="0" w:firstLine="0" w:firstLineChars="0"/>
        <w:jc w:val="center"/>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32"/>
          <w:szCs w:val="32"/>
          <w:shd w:val="clear" w:color="auto" w:fill="FFFFFF"/>
          <w:lang w:val="en-US" w:eastAsia="zh-CN" w:bidi="ar"/>
        </w:rPr>
        <w:t>广东省中医医术确有专长人员医师资格考核有关报名表格</w:t>
      </w:r>
    </w:p>
    <w:p>
      <w:pPr>
        <w:keepNext w:val="0"/>
        <w:keepLines w:val="0"/>
        <w:pageBreakBefore w:val="0"/>
        <w:kinsoku/>
        <w:wordWrap/>
        <w:overflowPunct/>
        <w:topLinePunct w:val="0"/>
        <w:autoSpaceDE/>
        <w:autoSpaceDN/>
        <w:bidi w:val="0"/>
        <w:spacing w:beforeLines="0" w:afterLines="0" w:line="520" w:lineRule="exact"/>
        <w:ind w:left="0" w:leftChars="0" w:firstLine="0" w:firstLineChars="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8"/>
          <w:szCs w:val="28"/>
          <w:shd w:val="clear" w:color="auto" w:fill="FFFFFF"/>
          <w:lang w:val="en-US" w:eastAsia="zh-CN" w:bidi="ar"/>
        </w:rPr>
        <w:t>详见《关于印发广东省中医医术确有专长人员医师资格考核有关报名表格的函》（粤中医办函〔2018）178号）</w:t>
      </w: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（可在省中医药局网站下载）</w:t>
      </w:r>
    </w:p>
    <w:tbl>
      <w:tblPr>
        <w:tblStyle w:val="5"/>
        <w:tblW w:w="9405"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序号</w:t>
            </w:r>
          </w:p>
        </w:tc>
        <w:tc>
          <w:tcPr>
            <w:tcW w:w="8490" w:type="dxa"/>
            <w:vAlign w:val="top"/>
          </w:tcPr>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vertAlign w:val="baseline"/>
                <w:lang w:val="en-US" w:eastAsia="zh-CN" w:bidi="ar"/>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《广东省中医医术确有专长人员医师资格考核资料申报一览表》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2</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《中医医术有专长人员（师承学习人员）医师资格考核申请表》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3</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《中医医术确有专长人员（多年实践人员）医师资格考核申请表》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4</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《广东省中医医术确有专长人员医师资格考核中医医术专长综述》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5</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《广东省中医医术确有专长人员医师资格考核现场辨识中药申报表》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6</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《推荐医师承诺书》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7</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《广东省中医医术确有专长人员医师资格考核指导老师和医疗机构意见表》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8</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《县级证明，村委、居委证明，患者推荐证明（三选一）》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9</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《继续跟师学习证明》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10</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《中医疾病名称与分类代码表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11</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《中医医疗技术目录》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12</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《广东省中医医术确有专长人员医师资格考核人员信息汇总表》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13</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《回顾性中医医术实践资料》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kinsoku/>
              <w:wordWrap/>
              <w:overflowPunct/>
              <w:topLinePunct w:val="0"/>
              <w:autoSpaceDE/>
              <w:autoSpaceDN/>
              <w:bidi w:val="0"/>
              <w:spacing w:beforeLines="0" w:afterLines="0" w:line="574" w:lineRule="exact"/>
              <w:jc w:val="center"/>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t>14</w:t>
            </w:r>
          </w:p>
        </w:tc>
        <w:tc>
          <w:tcPr>
            <w:tcW w:w="8490" w:type="dxa"/>
            <w:vAlign w:val="top"/>
          </w:tcPr>
          <w:p>
            <w:pPr>
              <w:keepNext w:val="0"/>
              <w:keepLines w:val="0"/>
              <w:pageBreakBefore w:val="0"/>
              <w:kinsoku/>
              <w:wordWrap/>
              <w:overflowPunct/>
              <w:topLinePunct w:val="0"/>
              <w:autoSpaceDE/>
              <w:autoSpaceDN/>
              <w:bidi w:val="0"/>
              <w:spacing w:beforeLines="0" w:afterLines="0" w:line="574" w:lineRule="exact"/>
              <w:jc w:val="both"/>
              <w:textAlignment w:val="auto"/>
              <w:outlineLvl w:val="9"/>
              <w:rPr>
                <w:rFonts w:hint="eastAsia" w:ascii="仿宋_GB2312" w:hAnsi="仿宋_GB2312" w:eastAsia="仿宋_GB2312" w:cs="仿宋_GB2312"/>
                <w:b w:val="0"/>
                <w:i w:val="0"/>
                <w:caps w:val="0"/>
                <w:color w:val="000000"/>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i w:val="0"/>
                <w:caps w:val="0"/>
                <w:color w:val="000000"/>
                <w:spacing w:val="0"/>
                <w:kern w:val="0"/>
                <w:sz w:val="28"/>
                <w:szCs w:val="28"/>
                <w:shd w:val="clear" w:color="auto" w:fill="FFFFFF"/>
                <w:lang w:val="en-US" w:eastAsia="zh-CN" w:bidi="ar"/>
              </w:rPr>
              <w:t>《广东省中医医术确有专长人员医师资格考核资料文件袋封面》</w:t>
            </w:r>
          </w:p>
        </w:tc>
      </w:tr>
    </w:tbl>
    <w:p>
      <w:pPr>
        <w:keepNext w:val="0"/>
        <w:keepLines w:val="0"/>
        <w:pageBreakBefore w:val="0"/>
        <w:kinsoku/>
        <w:wordWrap/>
        <w:overflowPunct/>
        <w:topLinePunct w:val="0"/>
        <w:autoSpaceDE/>
        <w:autoSpaceDN/>
        <w:bidi w:val="0"/>
        <w:spacing w:beforeLines="0" w:afterLines="0" w:line="574" w:lineRule="exact"/>
        <w:ind w:left="0" w:lef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widowControl/>
        <w:numPr>
          <w:ilvl w:val="0"/>
          <w:numId w:val="0"/>
        </w:numPr>
        <w:pBdr>
          <w:top w:val="none" w:color="auto" w:sz="0" w:space="0"/>
          <w:left w:val="none" w:color="auto" w:sz="0" w:space="0"/>
          <w:bottom w:val="none" w:color="auto" w:sz="0" w:space="0"/>
          <w:right w:val="none" w:color="auto" w:sz="0" w:space="0"/>
        </w:pBdr>
        <w:shd w:val="clear" w:color="auto" w:fill="FFFFFF"/>
        <w:spacing w:line="574" w:lineRule="exact"/>
        <w:ind w:leftChars="300" w:firstLine="720" w:firstLineChars="200"/>
        <w:jc w:val="left"/>
        <w:outlineLvl w:val="9"/>
        <w:rPr>
          <w:rFonts w:hint="eastAsia" w:ascii="仿宋_GB2312" w:hAnsi="仿宋_GB2312" w:eastAsia="仿宋_GB2312" w:cs="仿宋_GB2312"/>
          <w:sz w:val="36"/>
          <w:szCs w:val="36"/>
        </w:rPr>
      </w:pPr>
    </w:p>
    <w:p>
      <w:pPr>
        <w:rPr>
          <w:rFonts w:hint="eastAsia" w:ascii="仿宋_GB2312" w:eastAsia="仿宋_GB2312"/>
          <w:snapToGrid w:val="0"/>
          <w:kern w:val="0"/>
          <w:sz w:val="32"/>
          <w:szCs w:val="32"/>
        </w:rPr>
      </w:pPr>
    </w:p>
    <w:p>
      <w:pPr>
        <w:rPr>
          <w:rFonts w:hint="eastAsia" w:ascii="仿宋_GB2312" w:eastAsia="仿宋_GB2312"/>
          <w:snapToGrid w:val="0"/>
          <w:kern w:val="0"/>
          <w:sz w:val="32"/>
          <w:szCs w:val="32"/>
        </w:rPr>
      </w:pPr>
    </w:p>
    <w:p>
      <w:pPr>
        <w:rPr>
          <w:rFonts w:hint="eastAsia" w:ascii="仿宋_GB2312" w:eastAsia="仿宋_GB2312"/>
          <w:snapToGrid w:val="0"/>
          <w:kern w:val="0"/>
          <w:sz w:val="32"/>
          <w:szCs w:val="32"/>
        </w:rPr>
      </w:pPr>
    </w:p>
    <w:p>
      <w:pPr>
        <w:rPr>
          <w:rFonts w:hint="eastAsia" w:ascii="仿宋_GB2312" w:eastAsia="仿宋_GB2312"/>
          <w:snapToGrid w:val="0"/>
          <w:kern w:val="0"/>
          <w:sz w:val="32"/>
          <w:szCs w:val="32"/>
        </w:rPr>
      </w:pPr>
    </w:p>
    <w:p>
      <w:pPr>
        <w:rPr>
          <w:rFonts w:hint="eastAsia" w:ascii="仿宋_GB2312" w:eastAsia="仿宋_GB2312"/>
          <w:snapToGrid w:val="0"/>
          <w:kern w:val="0"/>
          <w:sz w:val="32"/>
          <w:szCs w:val="32"/>
        </w:rPr>
      </w:pPr>
    </w:p>
    <w:p>
      <w:pPr>
        <w:rPr>
          <w:rFonts w:hint="eastAsia" w:ascii="仿宋_GB2312" w:eastAsia="仿宋_GB2312"/>
          <w:snapToGrid w:val="0"/>
          <w:kern w:val="0"/>
          <w:sz w:val="32"/>
          <w:szCs w:val="32"/>
        </w:rPr>
      </w:pPr>
    </w:p>
    <w:p>
      <w:pPr>
        <w:rPr>
          <w:rFonts w:hint="eastAsia" w:ascii="仿宋_GB2312" w:eastAsia="仿宋_GB2312"/>
          <w:snapToGrid w:val="0"/>
          <w:kern w:val="0"/>
          <w:sz w:val="32"/>
          <w:szCs w:val="32"/>
        </w:rPr>
      </w:pPr>
      <w:bookmarkStart w:id="0" w:name="_GoBack"/>
      <w:bookmarkEnd w:id="0"/>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35524"/>
    <w:rsid w:val="0D9A3867"/>
    <w:rsid w:val="134B71BD"/>
    <w:rsid w:val="30696EE5"/>
    <w:rsid w:val="4C535524"/>
    <w:rsid w:val="665D1AE3"/>
    <w:rsid w:val="74C6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ascii="Times New Roman" w:hAnsi="Times New Roman" w:cs="Times New Roman"/>
      <w:kern w:val="0"/>
      <w:sz w:val="24"/>
      <w:szCs w:val="24"/>
      <w:lang w:bidi="ar-SA"/>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省中医药局</Company>
  <Pages>1</Pages>
  <Words>0</Words>
  <Characters>0</Characters>
  <Lines>0</Lines>
  <Paragraphs>0</Paragraphs>
  <TotalTime>15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2018-11-01T02:38:00Z</dcterms:created>
  <dc:creator>李峰</dc:creator>
  <cp:lastModifiedBy>卢玲</cp:lastModifiedBy>
  <cp:lastPrinted>2018-11-01T04:00:00Z</cp:lastPrinted>
  <dcterms:modified xsi:type="dcterms:W3CDTF">2018-11-01T09:46:26Z</dcterms:modified>
  <dc:title>粤中医办函〔2018〕179号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