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84" w:lineRule="auto"/>
      </w:pPr>
      <w:bookmarkStart w:id="0" w:name="_GoBack"/>
      <w:r>
        <w:rPr>
          <w:rStyle w:val="5"/>
          <w:sz w:val="21"/>
          <w:szCs w:val="21"/>
        </w:rPr>
        <w:t xml:space="preserve">招聘岗位、人数及岗位条件  </w:t>
      </w:r>
    </w:p>
    <w:bookmarkEnd w:id="0"/>
    <w:tbl>
      <w:tblPr>
        <w:tblW w:w="8897" w:type="dxa"/>
        <w:jc w:val="center"/>
        <w:tblInd w:w="-295" w:type="dxa"/>
        <w:shd w:val="clear"/>
        <w:tblLayout w:type="fixed"/>
        <w:tblCellMar>
          <w:top w:w="0" w:type="dxa"/>
          <w:left w:w="0" w:type="dxa"/>
          <w:bottom w:w="0" w:type="dxa"/>
          <w:right w:w="0" w:type="dxa"/>
        </w:tblCellMar>
      </w:tblPr>
      <w:tblGrid>
        <w:gridCol w:w="1880"/>
        <w:gridCol w:w="1177"/>
        <w:gridCol w:w="5840"/>
      </w:tblGrid>
      <w:tr>
        <w:tblPrEx>
          <w:shd w:val="clear"/>
          <w:tblLayout w:type="fixed"/>
          <w:tblCellMar>
            <w:top w:w="0" w:type="dxa"/>
            <w:left w:w="0" w:type="dxa"/>
            <w:bottom w:w="0" w:type="dxa"/>
            <w:right w:w="0" w:type="dxa"/>
          </w:tblCellMar>
        </w:tblPrEx>
        <w:trPr>
          <w:trHeight w:val="45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b/>
                <w:color w:val="000000"/>
                <w:kern w:val="0"/>
                <w:sz w:val="20"/>
                <w:szCs w:val="20"/>
                <w:bdr w:val="none" w:color="auto" w:sz="0" w:space="0"/>
                <w:lang w:val="en-US" w:eastAsia="zh-CN" w:bidi="ar"/>
              </w:rPr>
              <w:t>招聘岗位</w:t>
            </w:r>
          </w:p>
        </w:tc>
        <w:tc>
          <w:tcPr>
            <w:tcW w:w="117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b/>
                <w:color w:val="000000"/>
                <w:kern w:val="0"/>
                <w:sz w:val="20"/>
                <w:szCs w:val="20"/>
                <w:bdr w:val="none" w:color="auto" w:sz="0" w:space="0"/>
                <w:lang w:val="en-US" w:eastAsia="zh-CN" w:bidi="ar"/>
              </w:rPr>
              <w:t>招聘人数</w:t>
            </w:r>
          </w:p>
        </w:tc>
        <w:tc>
          <w:tcPr>
            <w:tcW w:w="58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b/>
                <w:color w:val="000000"/>
                <w:kern w:val="0"/>
                <w:sz w:val="20"/>
                <w:szCs w:val="20"/>
                <w:bdr w:val="none" w:color="auto" w:sz="0" w:space="0"/>
                <w:lang w:val="en-US" w:eastAsia="zh-CN" w:bidi="ar"/>
              </w:rPr>
              <w:t>招聘条件</w:t>
            </w:r>
          </w:p>
        </w:tc>
      </w:tr>
      <w:tr>
        <w:tblPrEx>
          <w:shd w:val="clear"/>
          <w:tblLayout w:type="fixed"/>
          <w:tblCellMar>
            <w:top w:w="0" w:type="dxa"/>
            <w:left w:w="0" w:type="dxa"/>
            <w:bottom w:w="0" w:type="dxa"/>
            <w:right w:w="0" w:type="dxa"/>
          </w:tblCellMar>
        </w:tblPrEx>
        <w:trPr>
          <w:trHeight w:val="129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眼科技师</w:t>
            </w:r>
          </w:p>
        </w:tc>
        <w:tc>
          <w:tcPr>
            <w:tcW w:w="117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1</w:t>
            </w:r>
          </w:p>
        </w:tc>
        <w:tc>
          <w:tcPr>
            <w:tcW w:w="58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全日制本科及以上学历，临床医学或生物医学工程专业，历届生须取得医师或技师资格证，毕业后一直在三级甲等医院从事医疗或生物医学工程相关工作至今，年龄在25周岁以下。</w:t>
            </w:r>
          </w:p>
        </w:tc>
      </w:tr>
      <w:tr>
        <w:tblPrEx>
          <w:shd w:val="clear"/>
          <w:tblLayout w:type="fixed"/>
          <w:tblCellMar>
            <w:top w:w="0" w:type="dxa"/>
            <w:left w:w="0" w:type="dxa"/>
            <w:bottom w:w="0" w:type="dxa"/>
            <w:right w:w="0" w:type="dxa"/>
          </w:tblCellMar>
        </w:tblPrEx>
        <w:trPr>
          <w:trHeight w:val="129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输血科医、技师</w:t>
            </w:r>
          </w:p>
        </w:tc>
        <w:tc>
          <w:tcPr>
            <w:tcW w:w="117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2</w:t>
            </w:r>
          </w:p>
        </w:tc>
        <w:tc>
          <w:tcPr>
            <w:tcW w:w="58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全日制本科及以上学历，临床医学或医学检验专业，历届生须取得医师资格证或检验技师资格证，毕业后一直在三级甲等医院从事输血医疗技术或医学检验相关工作至今，年龄在30周岁以下。</w:t>
            </w:r>
          </w:p>
        </w:tc>
      </w:tr>
      <w:tr>
        <w:tblPrEx>
          <w:shd w:val="clear"/>
          <w:tblLayout w:type="fixed"/>
          <w:tblCellMar>
            <w:top w:w="0" w:type="dxa"/>
            <w:left w:w="0" w:type="dxa"/>
            <w:bottom w:w="0" w:type="dxa"/>
            <w:right w:w="0" w:type="dxa"/>
          </w:tblCellMar>
        </w:tblPrEx>
        <w:trPr>
          <w:trHeight w:val="129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妇科医师</w:t>
            </w:r>
          </w:p>
        </w:tc>
        <w:tc>
          <w:tcPr>
            <w:tcW w:w="117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1</w:t>
            </w:r>
          </w:p>
        </w:tc>
        <w:tc>
          <w:tcPr>
            <w:tcW w:w="58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全日制本科及以上学历、临床医学或妇产科学专业，历届生毕业后须一直在三甲医院妇产科专业规范化培训至今，取得医师资格证，通过住院医师规范化培训资格考试，年龄30周岁以下</w:t>
            </w:r>
          </w:p>
        </w:tc>
      </w:tr>
      <w:tr>
        <w:tblPrEx>
          <w:shd w:val="clear"/>
          <w:tblLayout w:type="fixed"/>
          <w:tblCellMar>
            <w:top w:w="0" w:type="dxa"/>
            <w:left w:w="0" w:type="dxa"/>
            <w:bottom w:w="0" w:type="dxa"/>
            <w:right w:w="0" w:type="dxa"/>
          </w:tblCellMar>
        </w:tblPrEx>
        <w:trPr>
          <w:trHeight w:val="129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急诊科医师</w:t>
            </w:r>
          </w:p>
        </w:tc>
        <w:tc>
          <w:tcPr>
            <w:tcW w:w="117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1</w:t>
            </w:r>
          </w:p>
        </w:tc>
        <w:tc>
          <w:tcPr>
            <w:tcW w:w="58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全日制本科及以上学历、临床医学或急诊医学专业，历届生毕业后须一直在三甲医院进行住院医师规范化培训至今，取得医师资格证，通过住院医师规范化培训资格考试，年龄30周岁以下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D2790"/>
    <w:rsid w:val="077D27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2019-06-27T03:13:00Z</dcterms:created>
  <dc:creator>ASUS</dc:creator>
  <cp:lastModifiedBy>ASUS</cp:lastModifiedBy>
  <dcterms:modified xsi:type="dcterms:W3CDTF">2019-06-27T03:13:35Z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