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32"/>
          <w:szCs w:val="32"/>
          <w:shd w:val="clear" w:fill="FFFFFF"/>
        </w:rPr>
        <w:t>湖南省人民医院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8"/>
          <w:szCs w:val="18"/>
          <w:bdr w:val="none" w:color="auto" w:sz="0" w:space="0"/>
          <w:shd w:val="clear" w:fill="FFFFFF"/>
        </w:rPr>
        <w:t>具体招录名额和专业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8"/>
          <w:szCs w:val="18"/>
          <w:bdr w:val="none" w:color="auto" w:sz="0" w:space="0"/>
          <w:shd w:val="clear" w:fill="FFFFFF"/>
        </w:rPr>
        <w:t>见下表：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553075" cy="164782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A1EBA"/>
    <w:rsid w:val="6E8A1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2019-08-06T14:25:00Z</dcterms:created>
  <dc:creator>ASUS</dc:creator>
  <cp:lastModifiedBy>ASUS</cp:lastModifiedBy>
  <dcterms:modified xsi:type="dcterms:W3CDTF">2019-08-06T14:25:41Z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