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13" w:afterAutospacing="0" w:line="23" w:lineRule="atLeast"/>
        <w:ind w:left="401" w:right="0" w:firstLine="0"/>
        <w:rPr>
          <w:rFonts w:ascii="Microsoft YaHei UI" w:hAnsi="Microsoft YaHei UI" w:eastAsia="Microsoft YaHei UI" w:cs="Microsoft YaHei UI"/>
          <w:i w:val="0"/>
          <w:caps w:val="0"/>
          <w:color w:val="555555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555555"/>
          <w:spacing w:val="0"/>
          <w:sz w:val="26"/>
          <w:szCs w:val="26"/>
          <w:shd w:val="clear" w:fill="FFFFFF"/>
        </w:rPr>
        <w:t>绵阳市中心医院临床医学研究中心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招聘岗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位</w:t>
      </w:r>
    </w:p>
    <w:tbl>
      <w:tblPr>
        <w:tblW w:w="6749" w:type="dxa"/>
        <w:tblInd w:w="2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778"/>
        <w:gridCol w:w="1064"/>
        <w:gridCol w:w="589"/>
        <w:gridCol w:w="22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3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部门</w:t>
            </w: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3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专业方向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3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3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3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3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3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研究中心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3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生物学、基础医学相关专业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3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40岁以下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3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 w:line="23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要求具有较强的科研和协作能力，SCI高分值文章的第一作者优先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5BB0"/>
    <w:rsid w:val="62715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2019-08-16T05:14:00Z</dcterms:created>
  <dc:creator>ASUS</dc:creator>
  <cp:lastModifiedBy>ASUS</cp:lastModifiedBy>
  <dcterms:modified xsi:type="dcterms:W3CDTF">2019-08-16T05:15:09Z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